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BCF" w:rsidRPr="00EF10C9" w:rsidRDefault="003C2B8D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63245" cy="712470"/>
            <wp:effectExtent l="0" t="0" r="825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F97EF5" w:rsidRPr="00EF10C9">
        <w:rPr>
          <w:rFonts w:cs="Arial"/>
          <w:b/>
          <w:bCs/>
          <w:kern w:val="28"/>
          <w:sz w:val="32"/>
          <w:szCs w:val="32"/>
        </w:rPr>
        <w:t>–</w:t>
      </w:r>
      <w:r w:rsidR="0084481E" w:rsidRPr="00EF10C9">
        <w:rPr>
          <w:rFonts w:cs="Arial"/>
          <w:b/>
          <w:bCs/>
          <w:kern w:val="28"/>
          <w:sz w:val="32"/>
          <w:szCs w:val="32"/>
        </w:rPr>
        <w:t xml:space="preserve"> </w:t>
      </w:r>
      <w:r w:rsidR="004F56D9" w:rsidRPr="00EF10C9">
        <w:rPr>
          <w:rFonts w:cs="Arial"/>
          <w:b/>
          <w:bCs/>
          <w:kern w:val="28"/>
          <w:sz w:val="32"/>
          <w:szCs w:val="32"/>
        </w:rPr>
        <w:t>Кузбасс</w:t>
      </w: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F66B31" w:rsidRPr="00EF10C9">
        <w:rPr>
          <w:rFonts w:cs="Arial"/>
          <w:b/>
          <w:bCs/>
          <w:kern w:val="28"/>
          <w:sz w:val="32"/>
          <w:szCs w:val="32"/>
        </w:rPr>
        <w:t>округа</w:t>
      </w: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DF2BCF" w:rsidRPr="00EF10C9" w:rsidRDefault="00DF2BCF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РАСПОРЯЖЕНИЕ</w:t>
      </w:r>
    </w:p>
    <w:p w:rsidR="00BF6407" w:rsidRPr="00EF10C9" w:rsidRDefault="00BF6407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BF6407" w:rsidRPr="00EF10C9" w:rsidRDefault="00BF6407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 xml:space="preserve">Об утверждении прогноза социально-экономического развития </w:t>
      </w:r>
    </w:p>
    <w:p w:rsidR="00BF6407" w:rsidRPr="00EF10C9" w:rsidRDefault="00BF6407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округа на 2023 год и </w:t>
      </w:r>
    </w:p>
    <w:p w:rsidR="00BF6407" w:rsidRPr="00EF10C9" w:rsidRDefault="00BF6407" w:rsidP="00EF10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плановый период 2024 - 2026 годов</w:t>
      </w:r>
    </w:p>
    <w:p w:rsidR="00BF6407" w:rsidRPr="00EF10C9" w:rsidRDefault="00BF6407" w:rsidP="00EF10C9">
      <w:pPr>
        <w:jc w:val="center"/>
      </w:pPr>
    </w:p>
    <w:p w:rsidR="00BF6407" w:rsidRPr="00EF10C9" w:rsidRDefault="00BF6407" w:rsidP="00EF10C9">
      <w:pPr>
        <w:rPr>
          <w:rFonts w:eastAsia="Calibri"/>
        </w:rPr>
      </w:pPr>
      <w:r w:rsidRPr="00EF10C9">
        <w:rPr>
          <w:rFonts w:eastAsia="Calibri"/>
        </w:rPr>
        <w:t xml:space="preserve">В соответствии с </w:t>
      </w:r>
      <w:hyperlink r:id="rId10" w:tooltip="Бюджетный кодекс" w:history="1">
        <w:r w:rsidRPr="000767CA">
          <w:rPr>
            <w:rStyle w:val="afa"/>
            <w:rFonts w:eastAsia="Calibri"/>
          </w:rPr>
          <w:t>Бюджетным кодексом</w:t>
        </w:r>
      </w:hyperlink>
      <w:r w:rsidRPr="00EF10C9">
        <w:rPr>
          <w:rFonts w:eastAsia="Calibri"/>
        </w:rPr>
        <w:t xml:space="preserve"> Российской Федерации, Федеральным законом </w:t>
      </w:r>
      <w:hyperlink r:id="rId11" w:tooltip="О стратегическом планировании в Российской Федерации" w:history="1">
        <w:r w:rsidRPr="000767CA">
          <w:rPr>
            <w:rStyle w:val="afa"/>
            <w:rFonts w:eastAsia="Calibri"/>
          </w:rPr>
          <w:t>от 28.06.2014 № 172-ФЗ</w:t>
        </w:r>
      </w:hyperlink>
      <w:r w:rsidRPr="00EF10C9">
        <w:rPr>
          <w:rFonts w:eastAsia="Calibri"/>
        </w:rPr>
        <w:t xml:space="preserve"> «О стратегическом планировании в Российской Федерации», постановлением администрации Ленинск-Кузнецкого муниципального округа </w:t>
      </w:r>
      <w:hyperlink r:id="rId12" w:tgtFrame="Logical" w:history="1">
        <w:r w:rsidRPr="000767CA">
          <w:rPr>
            <w:rStyle w:val="afa"/>
            <w:rFonts w:eastAsia="Calibri"/>
          </w:rPr>
          <w:t>от 19.05.2022 № 431</w:t>
        </w:r>
      </w:hyperlink>
      <w:r w:rsidRPr="00EF10C9">
        <w:rPr>
          <w:rFonts w:eastAsia="Calibri"/>
        </w:rPr>
        <w:t xml:space="preserve"> «Об утверждении порядка разработки, корректировки, осуществления мониторинга и контроля реализации прогнозов социально-экономического развития Ленинск-Кузнецкого муниципального округа», в целях определения направлений и ожидаемых результатов социально-экономического развития Ленинск-Кузнецкого муниципального округа на среднесрочный период:</w:t>
      </w:r>
    </w:p>
    <w:p w:rsidR="00BF6407" w:rsidRPr="00EF10C9" w:rsidRDefault="00BF6407" w:rsidP="00EF10C9">
      <w:pPr>
        <w:rPr>
          <w:rFonts w:eastAsia="Calibri"/>
        </w:rPr>
      </w:pPr>
      <w:r w:rsidRPr="00EF10C9">
        <w:rPr>
          <w:rFonts w:eastAsia="Calibri"/>
        </w:rPr>
        <w:t>1. Утвердить прогноз социально-экономического развития Ленинск-Кузнецкого муниципального округа на 2023 год и плановый период 2024-2026 годов согласно приложению.</w:t>
      </w:r>
    </w:p>
    <w:p w:rsidR="00BF6407" w:rsidRPr="00EF10C9" w:rsidRDefault="00BF6407" w:rsidP="00EF10C9">
      <w:pPr>
        <w:rPr>
          <w:rFonts w:eastAsia="Calibri"/>
        </w:rPr>
      </w:pPr>
      <w:r w:rsidRPr="00EF10C9">
        <w:rPr>
          <w:rFonts w:eastAsia="Calibri"/>
        </w:rPr>
        <w:t>2. Обнародовать настоящее распоряжение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 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 40 лет Октября, 2; Кемеровская область – Кузбасс, Ленинск-Кузнецкий район, с. Подгорное, пер. Кольцевой, 7; Кемеровская область – Кузбасс, Ленинск-Кузнецкий район, п. 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</w:t>
      </w:r>
    </w:p>
    <w:p w:rsidR="00BF6407" w:rsidRPr="00EF10C9" w:rsidRDefault="00BF6407" w:rsidP="00EF10C9">
      <w:pPr>
        <w:rPr>
          <w:rFonts w:eastAsia="Calibri"/>
        </w:rPr>
      </w:pPr>
      <w:r w:rsidRPr="00EF10C9">
        <w:rPr>
          <w:rFonts w:eastAsia="Calibri"/>
        </w:rPr>
        <w:t>3. Контроль за исполнением распоряжения возложить на и.о. заместителя главы муниципального округа по экономике Н.А. Кандакову.</w:t>
      </w:r>
    </w:p>
    <w:p w:rsidR="00BF6407" w:rsidRPr="00EF10C9" w:rsidRDefault="00BF6407" w:rsidP="00EF10C9">
      <w:pPr>
        <w:rPr>
          <w:rFonts w:eastAsia="Calibri"/>
        </w:rPr>
      </w:pPr>
      <w:r w:rsidRPr="00EF10C9">
        <w:rPr>
          <w:rFonts w:eastAsia="Calibri"/>
        </w:rPr>
        <w:t>4. Настоящее распоряжение вступает в силу после его подписания.</w:t>
      </w:r>
    </w:p>
    <w:p w:rsidR="00ED0B56" w:rsidRPr="00EF10C9" w:rsidRDefault="00ED0B56" w:rsidP="00EF10C9"/>
    <w:p w:rsidR="00DE4ED0" w:rsidRPr="00EF10C9" w:rsidRDefault="00DE4ED0" w:rsidP="00EF10C9">
      <w:r w:rsidRPr="00EF10C9">
        <w:lastRenderedPageBreak/>
        <w:t xml:space="preserve">        Временно исполняющий </w:t>
      </w:r>
    </w:p>
    <w:p w:rsidR="00DE4ED0" w:rsidRPr="00EF10C9" w:rsidRDefault="00DE4ED0" w:rsidP="00EF10C9">
      <w:r w:rsidRPr="00EF10C9">
        <w:t>обязанности главы Ленинск-Кузнецкого</w:t>
      </w:r>
    </w:p>
    <w:p w:rsidR="00DE4ED0" w:rsidRPr="00EF10C9" w:rsidRDefault="00DE4ED0" w:rsidP="00EF10C9">
      <w:r w:rsidRPr="00EF10C9">
        <w:t>муниципального округа                                                            Д.П. Полежайкин</w:t>
      </w:r>
    </w:p>
    <w:p w:rsidR="00DE4ED0" w:rsidRPr="00EF10C9" w:rsidRDefault="00DE4ED0" w:rsidP="00EF10C9">
      <w:r w:rsidRPr="00EF10C9">
        <w:t>г. Ленинск-Кузнецкий</w:t>
      </w:r>
    </w:p>
    <w:p w:rsidR="00ED0B56" w:rsidRPr="00EF10C9" w:rsidRDefault="00ED0B56" w:rsidP="00EF10C9"/>
    <w:p w:rsidR="00ED0B56" w:rsidRPr="00EF10C9" w:rsidRDefault="00ED0B56" w:rsidP="00EF10C9">
      <w:r w:rsidRPr="00EF10C9">
        <w:t>«</w:t>
      </w:r>
      <w:r w:rsidR="00F70704" w:rsidRPr="00EF10C9">
        <w:t>27</w:t>
      </w:r>
      <w:r w:rsidRPr="00EF10C9">
        <w:t xml:space="preserve">» </w:t>
      </w:r>
      <w:r w:rsidR="00F70704" w:rsidRPr="00EF10C9">
        <w:t>июля</w:t>
      </w:r>
      <w:r w:rsidRPr="00EF10C9">
        <w:t xml:space="preserve"> 2023 г.</w:t>
      </w:r>
    </w:p>
    <w:p w:rsidR="00ED0B56" w:rsidRPr="00EF10C9" w:rsidRDefault="00ED0B56" w:rsidP="00EF10C9">
      <w:r w:rsidRPr="00EF10C9">
        <w:t xml:space="preserve">№ </w:t>
      </w:r>
      <w:r w:rsidR="00F70704" w:rsidRPr="00EF10C9">
        <w:t>167-р</w:t>
      </w:r>
    </w:p>
    <w:p w:rsidR="00545E2F" w:rsidRPr="00EF10C9" w:rsidRDefault="00545E2F" w:rsidP="00EF10C9"/>
    <w:p w:rsidR="00BF6407" w:rsidRPr="00EF10C9" w:rsidRDefault="00BF6407" w:rsidP="00EF10C9">
      <w:pPr>
        <w:sectPr w:rsidR="00BF6407" w:rsidRPr="00EF10C9" w:rsidSect="00EF10C9">
          <w:headerReference w:type="even" r:id="rId13"/>
          <w:headerReference w:type="default" r:id="rId14"/>
          <w:pgSz w:w="11907" w:h="16840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:rsidR="00EF10C9" w:rsidRPr="00EF10C9" w:rsidRDefault="00EF10C9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lastRenderedPageBreak/>
        <w:t>ПРИЛОЖЕНИЕ</w:t>
      </w:r>
    </w:p>
    <w:p w:rsidR="00EF10C9" w:rsidRPr="00EF10C9" w:rsidRDefault="00EF10C9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к распоряжению администрации</w:t>
      </w:r>
    </w:p>
    <w:p w:rsidR="00EF10C9" w:rsidRPr="00EF10C9" w:rsidRDefault="00EF10C9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EF10C9" w:rsidRPr="00EF10C9" w:rsidRDefault="00EF10C9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EF10C9" w:rsidRPr="00EF10C9" w:rsidRDefault="00EF10C9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от 27 июля 2023 г.</w:t>
      </w:r>
    </w:p>
    <w:p w:rsidR="00BF6407" w:rsidRPr="00EF10C9" w:rsidRDefault="00EF10C9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28"/>
          <w:sz w:val="32"/>
          <w:szCs w:val="32"/>
        </w:rPr>
        <w:t>№ 167-р</w:t>
      </w:r>
    </w:p>
    <w:p w:rsidR="00BF6407" w:rsidRPr="00EF10C9" w:rsidRDefault="00BF6407" w:rsidP="00EF10C9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B46DB6" w:rsidRPr="00EF10C9" w:rsidRDefault="00B46DB6" w:rsidP="00EF10C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F10C9">
        <w:rPr>
          <w:rFonts w:cs="Arial"/>
          <w:b/>
          <w:bCs/>
          <w:kern w:val="32"/>
          <w:sz w:val="32"/>
          <w:szCs w:val="32"/>
        </w:rPr>
        <w:t xml:space="preserve">Прогноз социально-экономического развития Ленинск-Кузнецкого муниципального округа на 2023 год и </w:t>
      </w:r>
    </w:p>
    <w:p w:rsidR="00B46DB6" w:rsidRPr="00EF10C9" w:rsidRDefault="00B46DB6" w:rsidP="00EF10C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F10C9">
        <w:rPr>
          <w:rFonts w:cs="Arial"/>
          <w:b/>
          <w:bCs/>
          <w:kern w:val="32"/>
          <w:sz w:val="32"/>
          <w:szCs w:val="32"/>
        </w:rPr>
        <w:t>плановый период 2024-2026 годов</w:t>
      </w:r>
    </w:p>
    <w:p w:rsidR="00B46DB6" w:rsidRPr="00EF10C9" w:rsidRDefault="00B46DB6" w:rsidP="00EF10C9">
      <w:pPr>
        <w:jc w:val="center"/>
        <w:rPr>
          <w:rFonts w:cs="Arial"/>
          <w:b/>
          <w:bCs/>
          <w:kern w:val="32"/>
          <w:sz w:val="32"/>
          <w:szCs w:val="32"/>
        </w:rPr>
      </w:pPr>
    </w:p>
    <w:p w:rsidR="00B46DB6" w:rsidRPr="00EF10C9" w:rsidRDefault="00B46DB6" w:rsidP="00EF10C9">
      <w:pPr>
        <w:jc w:val="center"/>
        <w:rPr>
          <w:rFonts w:eastAsia="Calibri" w:cs="Arial"/>
          <w:b/>
          <w:bCs/>
          <w:kern w:val="28"/>
          <w:sz w:val="32"/>
          <w:szCs w:val="32"/>
        </w:rPr>
      </w:pPr>
      <w:r w:rsidRPr="00EF10C9">
        <w:rPr>
          <w:rFonts w:cs="Arial"/>
          <w:b/>
          <w:bCs/>
          <w:kern w:val="32"/>
          <w:sz w:val="32"/>
          <w:szCs w:val="32"/>
        </w:rPr>
        <w:t>Кемеровская область – Кузбасс, Ленинск-Кузнецкий муниципальный округ</w:t>
      </w:r>
    </w:p>
    <w:tbl>
      <w:tblPr>
        <w:tblW w:w="5000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2679"/>
        <w:gridCol w:w="1708"/>
        <w:gridCol w:w="1041"/>
        <w:gridCol w:w="960"/>
        <w:gridCol w:w="1028"/>
        <w:gridCol w:w="1049"/>
        <w:gridCol w:w="1107"/>
        <w:gridCol w:w="1107"/>
        <w:gridCol w:w="1107"/>
        <w:gridCol w:w="1107"/>
        <w:gridCol w:w="1107"/>
      </w:tblGrid>
      <w:tr w:rsidR="00B46DB6" w:rsidRPr="00EF10C9" w:rsidTr="000767CA">
        <w:trPr>
          <w:trHeight w:val="420"/>
        </w:trPr>
        <w:tc>
          <w:tcPr>
            <w:tcW w:w="801" w:type="dxa"/>
            <w:vMerge w:val="restart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</w:p>
        </w:tc>
        <w:tc>
          <w:tcPr>
            <w:tcW w:w="2754" w:type="dxa"/>
            <w:vMerge w:val="restart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Показатели</w:t>
            </w:r>
          </w:p>
        </w:tc>
        <w:tc>
          <w:tcPr>
            <w:tcW w:w="1753" w:type="dxa"/>
            <w:vMerge w:val="restart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Единица измерения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отчет *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отчет *</w:t>
            </w:r>
          </w:p>
        </w:tc>
        <w:tc>
          <w:tcPr>
            <w:tcW w:w="1052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оценка показателя</w:t>
            </w:r>
          </w:p>
        </w:tc>
        <w:tc>
          <w:tcPr>
            <w:tcW w:w="6744" w:type="dxa"/>
            <w:gridSpan w:val="6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прогноз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vMerge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</w:p>
        </w:tc>
        <w:tc>
          <w:tcPr>
            <w:tcW w:w="2754" w:type="dxa"/>
            <w:vMerge/>
            <w:shd w:val="clear" w:color="auto" w:fill="auto"/>
            <w:noWrap/>
            <w:vAlign w:val="bottom"/>
            <w:hideMark/>
          </w:tcPr>
          <w:p w:rsidR="00B46DB6" w:rsidRPr="00EF10C9" w:rsidRDefault="00B46DB6" w:rsidP="00EF10C9">
            <w:pPr>
              <w:pStyle w:val="Table0"/>
            </w:pPr>
          </w:p>
        </w:tc>
        <w:tc>
          <w:tcPr>
            <w:tcW w:w="1753" w:type="dxa"/>
            <w:vMerge/>
            <w:shd w:val="clear" w:color="auto" w:fill="auto"/>
            <w:noWrap/>
            <w:vAlign w:val="bottom"/>
            <w:hideMark/>
          </w:tcPr>
          <w:p w:rsidR="00B46DB6" w:rsidRPr="00EF10C9" w:rsidRDefault="00B46DB6" w:rsidP="00EF10C9">
            <w:pPr>
              <w:pStyle w:val="Table0"/>
            </w:pPr>
          </w:p>
        </w:tc>
        <w:tc>
          <w:tcPr>
            <w:tcW w:w="1066" w:type="dxa"/>
            <w:vMerge w:val="restart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0"/>
            </w:pPr>
            <w:r w:rsidRPr="00EF10C9">
              <w:t>2021</w:t>
            </w:r>
          </w:p>
        </w:tc>
        <w:tc>
          <w:tcPr>
            <w:tcW w:w="982" w:type="dxa"/>
            <w:vMerge w:val="restart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2022</w:t>
            </w:r>
          </w:p>
        </w:tc>
        <w:tc>
          <w:tcPr>
            <w:tcW w:w="1052" w:type="dxa"/>
            <w:vMerge w:val="restart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2023</w:t>
            </w:r>
          </w:p>
        </w:tc>
        <w:tc>
          <w:tcPr>
            <w:tcW w:w="2208" w:type="dxa"/>
            <w:gridSpan w:val="2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2024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2025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2026</w:t>
            </w:r>
          </w:p>
        </w:tc>
      </w:tr>
      <w:tr w:rsidR="00B46DB6" w:rsidRPr="00EF10C9" w:rsidTr="000767CA">
        <w:trPr>
          <w:trHeight w:val="240"/>
        </w:trPr>
        <w:tc>
          <w:tcPr>
            <w:tcW w:w="801" w:type="dxa"/>
            <w:vMerge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2754" w:type="dxa"/>
            <w:vMerge/>
            <w:shd w:val="clear" w:color="auto" w:fill="auto"/>
            <w:noWrap/>
            <w:vAlign w:val="bottom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753" w:type="dxa"/>
            <w:vMerge/>
            <w:shd w:val="clear" w:color="auto" w:fill="auto"/>
            <w:noWrap/>
            <w:vAlign w:val="bottom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066" w:type="dxa"/>
            <w:vMerge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982" w:type="dxa"/>
            <w:vMerge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052" w:type="dxa"/>
            <w:vMerge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консерва-тивный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базовый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консерва-тивный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базовый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консерва-тивный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базовый</w:t>
            </w:r>
          </w:p>
        </w:tc>
      </w:tr>
      <w:tr w:rsidR="00B46DB6" w:rsidRPr="00EF10C9" w:rsidTr="000767CA">
        <w:trPr>
          <w:trHeight w:val="240"/>
        </w:trPr>
        <w:tc>
          <w:tcPr>
            <w:tcW w:w="801" w:type="dxa"/>
            <w:vMerge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2754" w:type="dxa"/>
            <w:vMerge/>
            <w:shd w:val="clear" w:color="auto" w:fill="auto"/>
            <w:noWrap/>
            <w:vAlign w:val="bottom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753" w:type="dxa"/>
            <w:vMerge/>
            <w:shd w:val="clear" w:color="auto" w:fill="auto"/>
            <w:noWrap/>
            <w:vAlign w:val="bottom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066" w:type="dxa"/>
            <w:vMerge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982" w:type="dxa"/>
            <w:vMerge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052" w:type="dxa"/>
            <w:vMerge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вариант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 вариант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вариант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 вариант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вариант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 вариант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Население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Численность населения (в среднегодовом исчислении)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20,480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21,634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21,470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21,193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21,214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21,077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21,122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 xml:space="preserve">Численность населения (на 1 </w:t>
            </w:r>
            <w:r w:rsidRPr="00EF10C9">
              <w:lastRenderedPageBreak/>
              <w:t>января года)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20,575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21,721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21,547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21,392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21,392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21,254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21,266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21,131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21,162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1.3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Численность населения трудоспособного возраста</w:t>
            </w:r>
            <w:r w:rsidR="00EF10C9">
              <w:t xml:space="preserve"> </w:t>
            </w:r>
            <w:r w:rsidRPr="00EF10C9">
              <w:t>(на 1 января года)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9,982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11,069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11,031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10,974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10,979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10,925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10,938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10,882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10,908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1.4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Численность населения старше трудоспособного возраста</w:t>
            </w:r>
            <w:r w:rsidR="00EF10C9">
              <w:t xml:space="preserve"> </w:t>
            </w:r>
            <w:r w:rsidRPr="00EF10C9">
              <w:t>(на 1 января года)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6,127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5,671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5,516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5,433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5,436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5,356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5,362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5,282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5,295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Общий коэффициент рождаемости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число родившихся живыми на 1000 человек населения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9,1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8,3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8,4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9,4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1.8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Общий коэффициент смертности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число умерших на 1000 человек населения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20,3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17,7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17,2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15,7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1.9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Коэффициент естественного прироста населения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 1000 человек населения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-11,2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-9,5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-8,8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-8,3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-7,8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-7,2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-7,3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-6,3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1.10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Миграционный прирост (убыль)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0,038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0,031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0,035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0,053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Промышленное производство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3.1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 xml:space="preserve">Объем отгруженных товаров собственного производства, выполненных работ и </w:t>
            </w:r>
            <w:r w:rsidRPr="00EF10C9">
              <w:lastRenderedPageBreak/>
              <w:t>услуг собственными силами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6721,1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9803,3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8057,0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8558,8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8536,0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8840,8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8767,5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9106,2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9023,7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3.2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промышленного производства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 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96,4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89,0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95,9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100,1</w:t>
            </w:r>
          </w:p>
        </w:tc>
      </w:tr>
      <w:tr w:rsidR="00B46DB6" w:rsidRPr="00EF10C9" w:rsidTr="000767CA">
        <w:trPr>
          <w:trHeight w:val="435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Индексы производства по видам экономической деятельности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Добыча полезных ископаемых (раздел B)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 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88,8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95,8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Добыча угля (05)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 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88,8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95,8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3.9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Обрабатывающие производства (раздел C)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Pr="00EF10C9">
              <w:br w:type="page"/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163,2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98,7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93,5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101,2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3.10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Производство пищевых продуктов (10)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Pr="00EF10C9">
              <w:br/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176,5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86,0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3.13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 xml:space="preserve">Производство текстильных изделий </w:t>
            </w:r>
            <w:r w:rsidRPr="00EF10C9">
              <w:lastRenderedPageBreak/>
              <w:t>(13)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% к предыдущем</w:t>
            </w:r>
            <w:r w:rsidRPr="00EF10C9">
              <w:lastRenderedPageBreak/>
              <w:t>у году</w:t>
            </w:r>
            <w:r w:rsidRPr="00EF10C9">
              <w:br/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100,0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3.33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Ремонт и монтаж машин и оборудования (33)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Pr="00EF10C9">
              <w:br/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116,5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116,5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100,6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3.34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Обеспечение электрической энергией, газом и паром;</w:t>
            </w:r>
            <w:r w:rsidR="00EF10C9">
              <w:t xml:space="preserve"> </w:t>
            </w:r>
            <w:r w:rsidRPr="00EF10C9">
              <w:t>кондиционирование воздуха (раздел D)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103,3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101,0</w:t>
            </w:r>
          </w:p>
        </w:tc>
      </w:tr>
      <w:tr w:rsidR="00B46DB6" w:rsidRPr="00EF10C9" w:rsidTr="000767CA">
        <w:trPr>
          <w:trHeight w:val="54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3.35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Водоснабжение; водоотведение, организация сбора и утилизации отходов, деятельность по ликвидации загрязнений (раздел E)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114,2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134,5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Сельское хозяйство</w:t>
            </w:r>
          </w:p>
        </w:tc>
        <w:tc>
          <w:tcPr>
            <w:tcW w:w="1753" w:type="dxa"/>
            <w:shd w:val="clear" w:color="000000" w:fill="E2EFDA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Продукция сельского хозяйства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5972,0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7 580,0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5 781,0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8 701,0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8 772,0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9 152,0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9 255,0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9 649,0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9 780,0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производства продукции сельского хозяйства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117,3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114,4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71,2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143,1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144,7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Продукция растениеводства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4667,0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5 906,0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4 086,0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6 882,0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6 929,0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7 230,0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7 303,0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7 635,0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7 714,0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4.4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производства продукции растениеводства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127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117,3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64,1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101,4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4.5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Продукция животноводства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1305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1 674,0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1 695,0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1 819,0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1 843,0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1 922,0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1 952,0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2 014,0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2 046,0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4.6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производства продукции животноводства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100,7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Строительство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5.1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Объем работ, выполненных по виду деятельности "Строительство"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в ценах соответствующих лет; 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6 296,5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7 512,3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8 059,0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8 421,0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8 800,0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8 950,0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8 968,0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9 399,0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5.2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физического объема работ, выполненных по виду деятельности "Строительство"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93,4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97,8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100,9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Индекс-дефлятор по виду деятельности "Строительство"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111,9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113,7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104,1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Ввод в действие жилых домов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кв. м общей площади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11,546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6,780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13,000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12,000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13,000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13,000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14,000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14,000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15,000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Торговля и услуги населению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6.1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потребительских цен на товары и услуги, на конец года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декабрю</w:t>
            </w:r>
            <w:r w:rsidR="00EF10C9">
              <w:t xml:space="preserve"> </w:t>
            </w:r>
            <w:r w:rsidRPr="00EF10C9">
              <w:t>предыдущего года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112,6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104,1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6.2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потребительских цен на товары и услуги, в среднем за год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115,2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Оборот розничной торговли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995,0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1062,7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1065,1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1072,8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1076,5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1098,0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физического объема оборота розничной торговли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92,6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97,1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6.5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Индекс-дефлятор оборота розничной торговли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107,7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115,2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Объем платных услуг населению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152,6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173,8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174,4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177,3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176,1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179,6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6.7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физического объема платных услуг населению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106,2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95,1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95,8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97,2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6.8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Индекс-дефлятор объема платных услуг населению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112,3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104,2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Малое и среднее предпринимательство, включая микропредприятия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5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8.1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единиц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57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</w:t>
            </w:r>
          </w:p>
        </w:tc>
      </w:tr>
      <w:tr w:rsidR="00B46DB6" w:rsidRPr="00EF10C9" w:rsidTr="000767CA">
        <w:trPr>
          <w:trHeight w:val="7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8.2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Среднесписочная численность работников на предприятиях малого и среднего предпринимательства (включая микропредприятия) (без внешних совместителей)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0,897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0,700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0,679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0,659</w:t>
            </w:r>
          </w:p>
        </w:tc>
      </w:tr>
      <w:tr w:rsidR="00B46DB6" w:rsidRPr="00EF10C9" w:rsidTr="000767CA">
        <w:trPr>
          <w:trHeight w:val="45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8.3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Оборот малых и средних предприятий, включая микропредприятия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млрд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1,935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1,956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2,199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2,259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2,278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2,351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2,426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Инвестиции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Инвестиции в основной капитал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8 145,41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10 728,80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10 224,73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10 552,90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10 677,10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11 177,10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11 227,10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10 677,10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10 677,10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 физического объема инвестиций в основной капитал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к предыдущему году</w:t>
            </w:r>
            <w:r w:rsidR="00EF10C9">
              <w:t xml:space="preserve"> </w:t>
            </w:r>
            <w:r w:rsidRPr="00EF10C9">
              <w:t>в сопоставимых ценах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124,50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110,70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90,1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101,3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91,3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90,9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Индекс-дефлятор инвестиций в основной капитал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108,0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118,90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105,8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</w:t>
            </w:r>
          </w:p>
        </w:tc>
      </w:tr>
      <w:tr w:rsidR="00B46DB6" w:rsidRPr="00EF10C9" w:rsidTr="000767CA">
        <w:trPr>
          <w:trHeight w:val="7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Инвестиции в основной капитал по источникам</w:t>
            </w:r>
            <w:r w:rsidR="00EF10C9">
              <w:t xml:space="preserve"> </w:t>
            </w:r>
            <w:r w:rsidRPr="00EF10C9">
              <w:t xml:space="preserve">финансирования (без субъектов малого и среднего предпринимательства и объема </w:t>
            </w:r>
            <w:r w:rsidRPr="00EF10C9">
              <w:lastRenderedPageBreak/>
              <w:t>инвестиций, не наблюдаемых прямыми статистическими методами)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 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9.5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Собственные средства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6 707,8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9 417,2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7 693,74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7 710,75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7 730,12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7 758,73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7 806,74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7 779,66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7 848,21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Привлеченные средства, из них: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238,0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322,0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300,56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258,97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261,67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224,30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226,80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223,00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225,60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кредиты банков, в том числе: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9.6.1.1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кредиты иностранных банков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заемные средства других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174,2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161,9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165,20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164,30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164,80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163,20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163,50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161,80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162,20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бюджетные средства, в том числе: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63,1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159,7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134,86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94,27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96,27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60,60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62,60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60,60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62,60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9.6.3.1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федеральный бюджет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7,6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29,0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4,23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7,10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9.6.3.2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бюджеты субъектов Российской Федерации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38,0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99,8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92,49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47,72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47,72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9.6.3.3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из местных бюджетов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17,5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30,9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38,14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39,40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41,40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32,50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32,50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34,50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9.6.4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прочие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0,7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0,4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0,50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0,80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Консолидированный бюджет субъекта Российской Федерации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10.1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Доходы консолидированного бюджета субъекта</w:t>
            </w:r>
            <w:r w:rsidR="00EF10C9">
              <w:t xml:space="preserve"> </w:t>
            </w:r>
            <w:r w:rsidRPr="00EF10C9">
              <w:t>Российской Федерации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1 154,60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1 437,50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1 652,32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1 333,60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1 337,13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1 272,99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1 278,34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1 273,69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1 281,42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10.2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Налоговые и неналоговые доходы, всего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349,40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426,00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419,40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435,46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438,17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460,82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464,96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461,52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467,72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Налоговые доходы консолидированного бюджета субъекта Российской Федерации всего, в том числе: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231,20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315,50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309,92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329,11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330,20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353,84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355,57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354,08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357,02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 на прибыль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 на доходы физических лиц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147,70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190,80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197,75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206,95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218,10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219,02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218,10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220,01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 на добычу полезных ископаемых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акцизы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18,00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19,80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18,55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19,40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19,45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21,32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10.3.5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налог, взимаемый в связи с применением упрощенной системы налогообложения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6,30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33,40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28,57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29,66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29,82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34,42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34,25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34,56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 на имущество физических лиц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1,80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2,20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2,10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10.3.7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 на имущество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10.3.8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налог на игорный бизнес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10.3.9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транспортный налог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0,63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0,68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10.3.10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земельный налог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43,50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54,50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55,58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Неналоговые доходы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118,20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110,50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109,48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106,35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107,97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106,98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107,44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110,70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10.5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 xml:space="preserve">Безвозмездные </w:t>
            </w:r>
            <w:r w:rsidRPr="00EF10C9">
              <w:lastRenderedPageBreak/>
              <w:t>поступления всего, в том числе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805,20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 xml:space="preserve">1 </w:t>
            </w:r>
            <w:r w:rsidRPr="00EF10C9">
              <w:lastRenderedPageBreak/>
              <w:t>011,50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 xml:space="preserve">1 </w:t>
            </w:r>
            <w:r w:rsidRPr="00EF10C9">
              <w:lastRenderedPageBreak/>
              <w:t>232,92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898,14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898,96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812,17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813,38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812,17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813,70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10.5.1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субсидии из федерального бюджета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44,20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118,10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233,80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93,64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93,80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47,80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48,00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47,80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48,00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10.5.2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субвенции из федерального бюджета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408,70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486,00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535,52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535,50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10.5.3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дотации из федерального бюджета, в том числе: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331,00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386,10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401,60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247,00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247,20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207,50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10.5.4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дотации на выравнивание бюджетной обеспеченности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288,70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315,70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400,70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247,00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247,20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207,50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Расходы консолидированного бюджета субъекта</w:t>
            </w:r>
            <w:r w:rsidRPr="00EF10C9">
              <w:br/>
              <w:t>Российской Федерации всего, в том числе по направлениям: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1 134,10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1 427,80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1 692,56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1 342,40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1 345,62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1 280,57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1 285,45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1 281,12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1 287,72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общегосударственные вопросы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105,40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258,50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269,40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235,60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235,80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235,00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235,20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235,20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235,40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национальная оборона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1,30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1,50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1,70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10.6.3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национальная безопасность и правоохранительная деятельность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4,90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6,80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85,70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36,90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37,30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26,60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26,70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26,70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26,90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10.6.4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национальная экономика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53,20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146,30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135,90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75,30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75,90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71,50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71,90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71,60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72,10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</w:t>
            </w:r>
            <w:r w:rsidRPr="00EF10C9">
              <w:lastRenderedPageBreak/>
              <w:t>5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жилищно-</w:t>
            </w:r>
            <w:r w:rsidRPr="00EF10C9">
              <w:lastRenderedPageBreak/>
              <w:t>коммунальное хозяйство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117,60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115,40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134,60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89,20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89,50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56,00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55,50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56,20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10.6.6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охрана окружающей среды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22,10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22,23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10.6.7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образование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590,70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600,00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669,00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594,80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595,20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564,60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566,40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564,80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567,00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10.6.8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культура, кинематография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117,30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128,30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191,20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90,55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91,20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92,20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10.6.9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здравоохранение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10.6.10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социальная политика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138,10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165,60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177,90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174,20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174,80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173,00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173,80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173,10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174,00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10.6.11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физическая культура и спорт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3,10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0,70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0,34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10.6.12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средства массовой информации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2,80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3,60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4,50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4,65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10.6.13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обслуживание государственного и муниципального долга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0,06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0,00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10.7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Дефицит(-), профицит(+) консолидированного бюджета субъекта Российской Федерации, млн рублей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20,50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9,70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-40,24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-8,80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-8,49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-7,58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-7,11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-7,43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-6,30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275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Труд и занятость</w:t>
            </w:r>
          </w:p>
        </w:tc>
        <w:tc>
          <w:tcPr>
            <w:tcW w:w="1753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66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98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52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07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  <w:tc>
          <w:tcPr>
            <w:tcW w:w="1134" w:type="dxa"/>
            <w:shd w:val="clear" w:color="000000" w:fill="E2EFDA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 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12.5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Номинальная начисленная среднемесячная заработная плата работников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рублей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51 560,90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60 616,50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67 770,86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74 421,19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75 145,64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81 401,42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82 614,36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89 074,62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90 507,74</w:t>
            </w:r>
          </w:p>
        </w:tc>
      </w:tr>
      <w:tr w:rsidR="00B46DB6" w:rsidRPr="00EF10C9" w:rsidTr="000767CA">
        <w:trPr>
          <w:trHeight w:val="42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lastRenderedPageBreak/>
              <w:t>12.6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Темп роста номинальной начисленной среднемесячной заработной платы работников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106,10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117,56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111,80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110,88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109,55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12.9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Реальная заработная плата работников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99,16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102,05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105,97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104,70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105,10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12.12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Уровень зарегистрированной безработицы (на конец года)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1,6</w:t>
            </w:r>
          </w:p>
        </w:tc>
        <w:tc>
          <w:tcPr>
            <w:tcW w:w="982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1,3</w:t>
            </w:r>
          </w:p>
        </w:tc>
        <w:tc>
          <w:tcPr>
            <w:tcW w:w="1052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</w:t>
            </w:r>
          </w:p>
        </w:tc>
        <w:tc>
          <w:tcPr>
            <w:tcW w:w="1074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1,00</w:t>
            </w:r>
          </w:p>
        </w:tc>
      </w:tr>
      <w:tr w:rsidR="00B46DB6" w:rsidRPr="00EF10C9" w:rsidTr="000767CA">
        <w:trPr>
          <w:trHeight w:val="66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12.14</w:t>
            </w:r>
          </w:p>
        </w:tc>
        <w:tc>
          <w:tcPr>
            <w:tcW w:w="2754" w:type="dxa"/>
            <w:shd w:val="clear" w:color="auto" w:fill="auto"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Численность безработных, зарегистрированных в государственных учреждениях службы занятости населения (на конец года)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тыс. чел.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0,179</w:t>
            </w:r>
          </w:p>
        </w:tc>
        <w:tc>
          <w:tcPr>
            <w:tcW w:w="982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0,139</w:t>
            </w:r>
          </w:p>
        </w:tc>
        <w:tc>
          <w:tcPr>
            <w:tcW w:w="1052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  <w:tc>
          <w:tcPr>
            <w:tcW w:w="1074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0,1</w:t>
            </w:r>
          </w:p>
        </w:tc>
      </w:tr>
      <w:tr w:rsidR="00B46DB6" w:rsidRPr="00EF10C9" w:rsidTr="000767CA">
        <w:trPr>
          <w:trHeight w:val="48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12.15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Фонд заработной платы работников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млн руб.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3 477,9</w:t>
            </w:r>
          </w:p>
        </w:tc>
        <w:tc>
          <w:tcPr>
            <w:tcW w:w="982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3 958,5</w:t>
            </w:r>
          </w:p>
        </w:tc>
        <w:tc>
          <w:tcPr>
            <w:tcW w:w="1052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4 376,1</w:t>
            </w:r>
          </w:p>
        </w:tc>
        <w:tc>
          <w:tcPr>
            <w:tcW w:w="1074" w:type="dxa"/>
            <w:shd w:val="clear" w:color="000000" w:fill="FFFFFF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4 768,9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4 824,4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5 177,1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5 266,2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5 622,4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5 729,1</w:t>
            </w:r>
          </w:p>
        </w:tc>
      </w:tr>
      <w:tr w:rsidR="00B46DB6" w:rsidRPr="00EF10C9" w:rsidTr="000767CA">
        <w:trPr>
          <w:trHeight w:val="210"/>
        </w:trPr>
        <w:tc>
          <w:tcPr>
            <w:tcW w:w="801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12.16</w:t>
            </w:r>
          </w:p>
        </w:tc>
        <w:tc>
          <w:tcPr>
            <w:tcW w:w="275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Темп роста фонда заработной платы работников организаций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% г/г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107,89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113,80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110,55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108,98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110,24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108,56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109,16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108,60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6DB6" w:rsidRPr="00EF10C9" w:rsidRDefault="00B46DB6" w:rsidP="00EF10C9">
            <w:pPr>
              <w:pStyle w:val="Table"/>
            </w:pPr>
            <w:r w:rsidRPr="00EF10C9">
              <w:t>108,79</w:t>
            </w:r>
          </w:p>
        </w:tc>
      </w:tr>
    </w:tbl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  <w:sectPr w:rsidR="00B46DB6" w:rsidRPr="00EF10C9" w:rsidSect="00EF10C9">
          <w:headerReference w:type="even" r:id="rId15"/>
          <w:headerReference w:type="default" r:id="rId16"/>
          <w:footerReference w:type="even" r:id="rId17"/>
          <w:footerReference w:type="default" r:id="rId18"/>
          <w:pgSz w:w="16838" w:h="11906" w:orient="landscape"/>
          <w:pgMar w:top="1134" w:right="851" w:bottom="1134" w:left="1418" w:header="567" w:footer="567" w:gutter="0"/>
          <w:cols w:space="708"/>
          <w:titlePg/>
          <w:docGrid w:linePitch="360"/>
        </w:sect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lastRenderedPageBreak/>
        <w:t xml:space="preserve">Пояснительная записка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к Прогнозу социально-экономического развития Ленинск-Кузнецкого муниципального округа на 2023 год и на плановый период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2024-2026 годов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Прогноз основных показателей социально-экономического развития Ленинск-Кузнецкого муниципального округа разработан исходя из реального состояния экономики муниципального образования за 2022 год и 1 квартал 2023 года, ожидаемых итогов текущего года, а так же прогнозных показателей структурных подразделений администрации муниципального округа, федеральных служб, намерений предприятий и организаций независимо от форм собственности с учетом политики правительства, направленной на дальнейшее развитие и углубление, проводимых в стране экономических реформ и основных показателей социально-экономического развития муниципального округа до 2026 года, с применением индексов-дефляторов Минэкономики и региональных. Расчет по основным разделам проведен в двух вариантах: консервативном и базовом, в зависимости от условий внешних и внутренних факторов, оказывающих влияние на развитие экономики.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Общая оценка социально-экономической ситуации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в Ленинск-Кузнецком муниципальном округе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за отчетный период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В 2022 году оборот крупных и средних организаций Ленинск-Кузнецкого муниципального округа составил 10,5 млрд. руб., предприятиями муниципального округа отгружено товаров собственного производства в действующих ценах на 9,8 млрд. руб.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За 2022 год сельхозтоваропроизводителями всех форм собственности произведено продукции сельского хозяйства на сумму 7,6 млрд. руб.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Объем работ, выполненных по виду деятельности «Строительство», в 2022 году составил 7,5 млрд. рублей или 104,9% в сопоставимых ценах к 2021 году.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Оборот розничной торговли за 2022 год составил 1062,7 млн. руб., темп роста оборота розничной торговли к 2021 году составил 106,8%. На 2023 год запланировано увеличение оборота розничной торговли на 67,7 млн. руб., индекс физического объема – 92,6 %.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Среднемесячная заработная плата за 2022 год увеличилась на 17,56% к уровню 2021 года и составила 60,6 тыс. руб., к 2026 году прогнозируется в размере – 90,5 тыс. руб. 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1. Демография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По состоянию на 01 января 2023 года численность населения Ленинск-Кузнецкого муниципального округа составляет 21547 человек.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В 2022 году в округе родилось 179 детей (коэффициент на 1000 человек населения – 8,3), умерло – 384 человека (коэффициент на 1000 человек населения – 17,7), естественная убыль населения составила 205 человек. Миграционный прирост составил 31 человек.</w:t>
      </w:r>
    </w:p>
    <w:p w:rsidR="00F30228" w:rsidRPr="00EF10C9" w:rsidRDefault="00F30228" w:rsidP="00EF10C9">
      <w:pPr>
        <w:rPr>
          <w:rFonts w:eastAsia="Calibri"/>
        </w:rPr>
      </w:pPr>
    </w:p>
    <w:p w:rsidR="00F30228" w:rsidRPr="00EF10C9" w:rsidRDefault="00F30228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На период до 2026 года прогнозируется снижение численности населения до 21077 человек за счет естественной убыли населения.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2. Промышленное производство</w:t>
      </w:r>
    </w:p>
    <w:p w:rsidR="00B46DB6" w:rsidRPr="00EF10C9" w:rsidRDefault="00B46DB6" w:rsidP="00EF10C9">
      <w:r w:rsidRPr="00EF10C9">
        <w:t>Структура промышленного производства в 2022 году в действующих ценах сложилась следующим образом:</w:t>
      </w:r>
    </w:p>
    <w:p w:rsidR="00B46DB6" w:rsidRPr="00EF10C9" w:rsidRDefault="00B46DB6" w:rsidP="00EF10C9">
      <w:r w:rsidRPr="00EF10C9">
        <w:lastRenderedPageBreak/>
        <w:t>- добыча полезных ископаемых – 97,34% (9542,5 млн. руб.);</w:t>
      </w:r>
    </w:p>
    <w:p w:rsidR="00B46DB6" w:rsidRPr="00EF10C9" w:rsidRDefault="00B46DB6" w:rsidP="00EF10C9">
      <w:r w:rsidRPr="00EF10C9">
        <w:t>- обрабатывающие производства – 0,78% (76,1 млн. руб.);</w:t>
      </w:r>
    </w:p>
    <w:p w:rsidR="00B46DB6" w:rsidRPr="00EF10C9" w:rsidRDefault="00B46DB6" w:rsidP="00EF10C9">
      <w:r w:rsidRPr="00EF10C9">
        <w:t>- обеспечение электрической энергией, газом и паром; кондиционирование воздуха – 0,95% (93,3 млн. руб.);</w:t>
      </w:r>
    </w:p>
    <w:p w:rsidR="00B46DB6" w:rsidRPr="00EF10C9" w:rsidRDefault="00B46DB6" w:rsidP="00EF10C9">
      <w:r w:rsidRPr="00EF10C9">
        <w:t xml:space="preserve">- водоснабжение; водоотведение, организация сбора и утилизации отходов, деятельность по ликвидации загрязнений – 0,93% (91,4 млн. руб.). </w:t>
      </w:r>
    </w:p>
    <w:p w:rsidR="00B46DB6" w:rsidRPr="00EF10C9" w:rsidRDefault="00B46DB6" w:rsidP="00EF10C9">
      <w:r w:rsidRPr="00EF10C9">
        <w:t>Крупные предприятия, определяющие экономическое развитие Ленинск-Кузнецкого муниципального округа (угледобывающие предприятия):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9173"/>
      </w:tblGrid>
      <w:tr w:rsidR="00B46DB6" w:rsidRPr="00EF10C9" w:rsidTr="00EF10C9">
        <w:trPr>
          <w:trHeight w:val="179"/>
          <w:tblHeader/>
          <w:jc w:val="center"/>
        </w:trPr>
        <w:tc>
          <w:tcPr>
            <w:tcW w:w="689" w:type="dxa"/>
            <w:vAlign w:val="center"/>
          </w:tcPr>
          <w:p w:rsidR="00B46DB6" w:rsidRPr="00EF10C9" w:rsidRDefault="00B46DB6" w:rsidP="00EF10C9">
            <w:pPr>
              <w:pStyle w:val="Table0"/>
            </w:pPr>
            <w:r w:rsidRPr="00EF10C9">
              <w:t>№</w:t>
            </w:r>
          </w:p>
        </w:tc>
        <w:tc>
          <w:tcPr>
            <w:tcW w:w="9476" w:type="dxa"/>
            <w:vAlign w:val="center"/>
          </w:tcPr>
          <w:p w:rsidR="00B46DB6" w:rsidRPr="00EF10C9" w:rsidRDefault="00B46DB6" w:rsidP="00EF10C9">
            <w:pPr>
              <w:pStyle w:val="Table0"/>
            </w:pPr>
            <w:r w:rsidRPr="00EF10C9">
              <w:t>Название предприятия</w:t>
            </w:r>
          </w:p>
        </w:tc>
      </w:tr>
      <w:tr w:rsidR="00B46DB6" w:rsidRPr="00EF10C9" w:rsidTr="00EF10C9">
        <w:trPr>
          <w:jc w:val="center"/>
        </w:trPr>
        <w:tc>
          <w:tcPr>
            <w:tcW w:w="689" w:type="dxa"/>
            <w:vAlign w:val="center"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9476" w:type="dxa"/>
            <w:vAlign w:val="center"/>
          </w:tcPr>
          <w:p w:rsidR="00B46DB6" w:rsidRPr="00EF10C9" w:rsidRDefault="00B46DB6" w:rsidP="00EF10C9">
            <w:pPr>
              <w:pStyle w:val="Table"/>
            </w:pPr>
            <w:r w:rsidRPr="00EF10C9">
              <w:t>ООО «ММК-УГОЛЬ» Шахта Костромовская»</w:t>
            </w:r>
          </w:p>
          <w:p w:rsidR="00B46DB6" w:rsidRPr="00EF10C9" w:rsidRDefault="00B46DB6" w:rsidP="00EF10C9">
            <w:pPr>
              <w:pStyle w:val="Table"/>
            </w:pPr>
            <w:r w:rsidRPr="00EF10C9">
              <w:t>Выпускаемая продукция: каменный уголь</w:t>
            </w:r>
          </w:p>
        </w:tc>
      </w:tr>
      <w:tr w:rsidR="00B46DB6" w:rsidRPr="00EF10C9" w:rsidTr="00EF10C9">
        <w:trPr>
          <w:jc w:val="center"/>
        </w:trPr>
        <w:tc>
          <w:tcPr>
            <w:tcW w:w="689" w:type="dxa"/>
            <w:vAlign w:val="center"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9476" w:type="dxa"/>
            <w:vAlign w:val="center"/>
          </w:tcPr>
          <w:p w:rsidR="00B46DB6" w:rsidRPr="00EF10C9" w:rsidRDefault="00B46DB6" w:rsidP="00EF10C9">
            <w:pPr>
              <w:pStyle w:val="Table"/>
            </w:pPr>
            <w:r w:rsidRPr="00EF10C9">
              <w:t>ООО «Шахта им. С.Д. Тихова» «ПМХ-Уголь»</w:t>
            </w:r>
          </w:p>
          <w:p w:rsidR="00B46DB6" w:rsidRPr="00EF10C9" w:rsidRDefault="00B46DB6" w:rsidP="00EF10C9">
            <w:pPr>
              <w:pStyle w:val="Table"/>
            </w:pPr>
            <w:r w:rsidRPr="00EF10C9">
              <w:t>Выпускаемая продукция: каменный уголь</w:t>
            </w:r>
          </w:p>
        </w:tc>
      </w:tr>
      <w:tr w:rsidR="00B46DB6" w:rsidRPr="00EF10C9" w:rsidTr="00EF10C9">
        <w:trPr>
          <w:jc w:val="center"/>
        </w:trPr>
        <w:tc>
          <w:tcPr>
            <w:tcW w:w="689" w:type="dxa"/>
            <w:vAlign w:val="center"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9476" w:type="dxa"/>
            <w:vAlign w:val="center"/>
          </w:tcPr>
          <w:p w:rsidR="00B46DB6" w:rsidRPr="00EF10C9" w:rsidRDefault="00B46DB6" w:rsidP="00EF10C9">
            <w:pPr>
              <w:pStyle w:val="Table"/>
            </w:pPr>
            <w:r w:rsidRPr="00EF10C9">
              <w:t xml:space="preserve">АО «Разрез «Шестаки» </w:t>
            </w:r>
          </w:p>
          <w:p w:rsidR="00B46DB6" w:rsidRPr="00EF10C9" w:rsidRDefault="00B46DB6" w:rsidP="00EF10C9">
            <w:pPr>
              <w:pStyle w:val="Table"/>
            </w:pPr>
            <w:r w:rsidRPr="00EF10C9">
              <w:t>Выпускаемая продукция: каменный уголь</w:t>
            </w:r>
          </w:p>
        </w:tc>
      </w:tr>
      <w:tr w:rsidR="00B46DB6" w:rsidRPr="00EF10C9" w:rsidTr="00EF10C9">
        <w:trPr>
          <w:jc w:val="center"/>
        </w:trPr>
        <w:tc>
          <w:tcPr>
            <w:tcW w:w="689" w:type="dxa"/>
            <w:vAlign w:val="center"/>
          </w:tcPr>
          <w:p w:rsidR="00B46DB6" w:rsidRPr="00EF10C9" w:rsidRDefault="00B46DB6" w:rsidP="00EF10C9">
            <w:pPr>
              <w:pStyle w:val="Table"/>
            </w:pPr>
          </w:p>
        </w:tc>
        <w:tc>
          <w:tcPr>
            <w:tcW w:w="9476" w:type="dxa"/>
            <w:vAlign w:val="center"/>
          </w:tcPr>
          <w:p w:rsidR="00B46DB6" w:rsidRPr="00EF10C9" w:rsidRDefault="00B46DB6" w:rsidP="00EF10C9">
            <w:pPr>
              <w:pStyle w:val="Table"/>
            </w:pPr>
            <w:r w:rsidRPr="00EF10C9">
              <w:t>Обособленное структурное подразделение «Шахта Алексиевская» ООО «Шахта Байкаимская»</w:t>
            </w:r>
          </w:p>
        </w:tc>
      </w:tr>
    </w:tbl>
    <w:p w:rsidR="00B46DB6" w:rsidRPr="00EF10C9" w:rsidRDefault="00B46DB6" w:rsidP="00EF10C9">
      <w:r w:rsidRPr="00EF10C9">
        <w:t>Добыча полезных ископаемых</w:t>
      </w:r>
    </w:p>
    <w:p w:rsidR="00B46DB6" w:rsidRPr="00EF10C9" w:rsidRDefault="00B46DB6" w:rsidP="00EF10C9">
      <w:r w:rsidRPr="00EF10C9">
        <w:t xml:space="preserve">В 2022 году объем добычи угля по угледобывающим предприятиям муниципального округа снизился на 11,2% и составил 3,946 млн. тонн, по оценке в 2023 году составит 3,780 млн. тонн, то есть снижение на 4,2 %. </w:t>
      </w:r>
    </w:p>
    <w:p w:rsidR="00B46DB6" w:rsidRPr="00EF10C9" w:rsidRDefault="00B46DB6" w:rsidP="00EF10C9">
      <w:r w:rsidRPr="00EF10C9">
        <w:t>К 2026 году прогнозируется добыча угля по муниципальному округу 3,79 млн. тонн.</w:t>
      </w:r>
    </w:p>
    <w:p w:rsidR="00B46DB6" w:rsidRPr="00EF10C9" w:rsidRDefault="00B46DB6" w:rsidP="00EF10C9">
      <w:r w:rsidRPr="00EF10C9">
        <w:t>Обрабатывающие производства</w:t>
      </w:r>
    </w:p>
    <w:p w:rsidR="00B46DB6" w:rsidRPr="00EF10C9" w:rsidRDefault="00B46DB6" w:rsidP="00EF10C9">
      <w:r w:rsidRPr="00EF10C9">
        <w:t xml:space="preserve">Объем отгруженных товаров по обрабатывающим производствам в 2022 году составил 76,1 млн. руб., по оценке в 2023 году – 74,3 млн. руб. Прогнозируется, что к 2026 году объем отгруженных товаров составит 86,6 млн. руб. </w:t>
      </w:r>
    </w:p>
    <w:p w:rsidR="00B46DB6" w:rsidRPr="00EF10C9" w:rsidRDefault="00B46DB6" w:rsidP="00EF10C9">
      <w:r w:rsidRPr="00EF10C9">
        <w:t xml:space="preserve">Обрабатывающая промышленность в муниципальном округе представлена видом экономической деятельности «Производство пищевых продуктов» и «Ремонт и монтаж машин и оборудования». Производством пищевых продуктов на территории муниципального округа занимаются частично общество с ограниченной ответственностью «Ленинская торговая база», малые предприятия и несколько частных предпринимателей. </w:t>
      </w:r>
    </w:p>
    <w:p w:rsidR="009F2B39" w:rsidRPr="00EF10C9" w:rsidRDefault="009F2B39" w:rsidP="00EF10C9"/>
    <w:p w:rsidR="00B46DB6" w:rsidRPr="00EF10C9" w:rsidRDefault="00B46DB6" w:rsidP="00EF10C9">
      <w:r w:rsidRPr="00EF10C9">
        <w:t xml:space="preserve">Производство и распределение электроэнергии, газа и воды </w:t>
      </w:r>
    </w:p>
    <w:p w:rsidR="00F30228" w:rsidRPr="00EF10C9" w:rsidRDefault="00B46DB6" w:rsidP="00EF10C9">
      <w:r w:rsidRPr="00EF10C9">
        <w:t xml:space="preserve">По данному виду деятельности в муниципальном округе работают 7 частных предприятий (ООО «Панфиловец», ООО «Авангард», </w:t>
      </w:r>
    </w:p>
    <w:p w:rsidR="00406010" w:rsidRPr="00EF10C9" w:rsidRDefault="00406010" w:rsidP="00EF10C9"/>
    <w:p w:rsidR="00B46DB6" w:rsidRPr="00EF10C9" w:rsidRDefault="00406010" w:rsidP="00EF10C9">
      <w:r w:rsidRPr="00EF10C9">
        <w:t xml:space="preserve">ООО </w:t>
      </w:r>
      <w:r w:rsidR="00B46DB6" w:rsidRPr="00EF10C9">
        <w:t xml:space="preserve">«Шанс», ООО «Коммунальщик», ООО «Велес», ООО «УК «Егозово», ООО «Энергоресурс»). </w:t>
      </w:r>
    </w:p>
    <w:p w:rsidR="00B46DB6" w:rsidRPr="00EF10C9" w:rsidRDefault="00B46DB6" w:rsidP="00EF10C9">
      <w:r w:rsidRPr="00EF10C9">
        <w:t>В 2022 году индекс производства обеспечения электрической энергией, газом и паром составил 102,6%, что на 0,7% меньше 2021 года. Оценка индекса производства на 2023 год составляет 100,2%. Прогноз индекса производства к 2026 году составляет 101,0%.</w:t>
      </w:r>
    </w:p>
    <w:p w:rsidR="00B46DB6" w:rsidRPr="00EF10C9" w:rsidRDefault="00B46DB6" w:rsidP="00EF10C9">
      <w:r w:rsidRPr="00EF10C9">
        <w:t>Индекс производства водоснабжения в 2022 году 134,5%. Оценка индекса производства на 2023 год составляет 102,5%. Прогноз индекса производства к 2026 году составляет 104,2%.</w:t>
      </w:r>
    </w:p>
    <w:p w:rsidR="00B46DB6" w:rsidRPr="00EF10C9" w:rsidRDefault="00B46DB6" w:rsidP="00EF10C9"/>
    <w:p w:rsidR="00B46DB6" w:rsidRPr="00EF10C9" w:rsidRDefault="00B46DB6" w:rsidP="00EF10C9">
      <w:r w:rsidRPr="00EF10C9">
        <w:t>3. Сельское хозяйство</w:t>
      </w:r>
    </w:p>
    <w:p w:rsidR="00B46DB6" w:rsidRPr="00EF10C9" w:rsidRDefault="00B46DB6" w:rsidP="00EF10C9">
      <w:r w:rsidRPr="00EF10C9">
        <w:t xml:space="preserve">В 2022 году объем продукции сельского хозяйства в хозяйствах всех категорий (в ценах соответствующих лет) составил 7,58 млрд. рублей, что на 14,4% больше 2021 года, по оценке в 2023 году объем продукции составит 5,78 млрд. рублей. </w:t>
      </w:r>
      <w:r w:rsidRPr="00EF10C9">
        <w:lastRenderedPageBreak/>
        <w:t>Весной 2023 года сложились неблагоприятные погодные условия на Западной Сибири. Отсутствие в мае осадков и высокие температуры неблагоприятно отразилось на всходах. По результатам маршрутного обследования комиссия признала: состояние посевов угнетенное, отмечено засыхание листьев зерновых растений на корню, что влечет снижение валовой продукции. Пастбища для КРС выгорают от солнечных лучей, что влияет на продуктивность животных. В 2023 году прогнозируется снижение валовой продукции в сопоставимых ценах к 2022 году на 28,8%.</w:t>
      </w:r>
    </w:p>
    <w:p w:rsidR="00B46DB6" w:rsidRPr="00EF10C9" w:rsidRDefault="00B46DB6" w:rsidP="00EF10C9">
      <w:r w:rsidRPr="00EF10C9">
        <w:t>Прогнозируется, что к 2026 году объем продукции сельского хозяйства составит 9,65 млрд. рублей, в том числе растениеводство – 7,64 млрд. рублей, животноводство – 2,0 млрд. рублей.</w:t>
      </w:r>
    </w:p>
    <w:p w:rsidR="00B46DB6" w:rsidRPr="00EF10C9" w:rsidRDefault="00B46DB6" w:rsidP="00EF10C9">
      <w:r w:rsidRPr="00EF10C9">
        <w:t xml:space="preserve">По производству животноводческой продукции в 2022 году (к уровню 2021 года) прирост составил 104,2%, увеличение обусловлено ростом продуктивности в животноводстве. В 2023 году планируется небольшое снижение в связи с недостатком кормовой базы, которое повлечет снижение продуктивности. К 2026 году планируется ежегодное увеличение производства продукции животноводства на 0,6-1,7%, за счет роста продуктивности животных в товарных хозяйствах и образования мелких хозяйств, при условии получения грантов на создание и развитие товарно-молочных ферм. </w:t>
      </w:r>
    </w:p>
    <w:p w:rsidR="009F2B39" w:rsidRPr="00EF10C9" w:rsidRDefault="00B46DB6" w:rsidP="00EF10C9">
      <w:r w:rsidRPr="00EF10C9">
        <w:t xml:space="preserve">По отрасли растениеводства, в 2022 году (к уровню 2021 года) произошло увеличение на 17,3%. В 2023 году снижение продукции в сопоставимых ценах к 2022 году составит 35,9%, из-за сложившихся неблагоприятных погодных условиях. В дальнейшем ежегодный рост составит 1-1,5 %. Ежегодный рост производства обусловлен постоянным </w:t>
      </w:r>
    </w:p>
    <w:p w:rsidR="00AF73DC" w:rsidRPr="00EF10C9" w:rsidRDefault="00B46DB6" w:rsidP="00EF10C9">
      <w:r w:rsidRPr="00EF10C9">
        <w:t xml:space="preserve">обновлением сельскохозяйственной техники, покупкой высокоурожайных сортов зерновых и технических культур. Вместо старой техники приобретается более высокопроизводительная, позволяющая при посеве и </w:t>
      </w:r>
    </w:p>
    <w:p w:rsidR="00AF73DC" w:rsidRPr="00EF10C9" w:rsidRDefault="00AF73DC" w:rsidP="00EF10C9"/>
    <w:p w:rsidR="00B46DB6" w:rsidRPr="00EF10C9" w:rsidRDefault="00B46DB6" w:rsidP="00EF10C9">
      <w:r w:rsidRPr="00EF10C9">
        <w:t>уборке зерновых культур полностью копировать рельеф почвы, что благоприятно влияет на одновременные всходы и в дальнейшем созревание культур. Сельскохозяйственные предприятия внедряют новые технологии позволяющие увеличить урожайность и качество производимой продукции. Дополнительно, ежегодно при внедрении новых технологий в выращивании сельскохозяйственных культур, увеличивается урожайность кормовых культур, которая позволяет перевести часть площадей с кормовых в зерновые и технические культуры. Все перечисленные факторы способствуют ежегодному росту валовой продукции.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4. Строительство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В 2022 году выполненный объем работ по виду деятельности «Строительство» (включая оценку по субъектам малого предпринимательства и неформальному сектору экономики) составил 7512,3 млн. рублей, что на 4,9% больше 2021 года.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Общая площадь жилых помещений, приходящаяся в среднем на одного жителя в 2022 году составляет 30,92 м², в 2021 году – 32,2 м², в том числе введенная в действие в 2022 году – 0,31 м², в 2021 году – 0,56 м².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Площадь всего жилищного фонда на 01.01.2023 составила 666,31 тыс. м². За 2022 год введено в эксплуатацию 44 индивидуальных жилых домов общей площадью 6,643 тыс. м². Прогнозируется в 2026 году ввести в эксплуатацию 15,0 тыс. м². 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5. Потребительский рынок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lastRenderedPageBreak/>
        <w:t>Оборот розничной торговли за 2022 год составил 1062,7 млн. руб. или 92,6% (в сопоставимых ценах) к 2021 году.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Оборот общественного питания за 2022 год составил 115,1 млн. руб. или 101,7% (в сопоставимых ценах) к 2021 году.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Населению муниципального округа оказано платных услуг во всех секторах экономики на 173,8 млн. руб., что на 13,9% больше, чем в 2021 году.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На прогнозируемый период оборот розничной торговли составит к 2026 году – 1098,0 млн. руб., объем платных услуг – 179,6 млн. руб. 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6. Инвестиции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В 2022 году в развитие экономики и социальной сферы Ленинск-Кузнецкого муниципального округа (включая оценку по малым предприятиям и неформальному сектору экономики) направлено 10,7 млрд. рублей инвестиций в основной капитал, что на 31,7% больше, чем в 2021 году.</w:t>
      </w:r>
    </w:p>
    <w:p w:rsidR="00406010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Основная доля инвестиций – 85,0% от общего их объема была направлена на развитие угледобывающей отрасли. В развитие сельского </w:t>
      </w:r>
    </w:p>
    <w:p w:rsidR="00406010" w:rsidRPr="00EF10C9" w:rsidRDefault="00406010" w:rsidP="00EF10C9">
      <w:pPr>
        <w:rPr>
          <w:rFonts w:eastAsia="Calibri"/>
        </w:rPr>
      </w:pPr>
    </w:p>
    <w:p w:rsidR="00406010" w:rsidRPr="00EF10C9" w:rsidRDefault="00406010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хозяйства было вложено 2,7%, образование, здравоохранение, культуру – 1,3%, прочие отрасли – 11,0%.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Основным источником финансирования инвестиций (без субъектов малого предпринимательства и объема инвестиций, не наблюдаемых прямыми статистическими методами) являются собственные средства предприятий – 96,7%. Доля привлеченных средств организаций – 3,3%.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По оценке в 2023 году инвестиции в экономику муниципального округа составят 10,2 млрд. рублей или 95,3% к уровню 2022 года. Прогноз инвестиций к 2026 году составляет 10,6 млрд. рублей.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Основные планируемые инвестиционные проекты: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- строительство зерносушильного комплекса производительностью 36 тонн в час в с. Шабаново на базе ООО «КХ Рощупкина С.И.»;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- строительство зерносушильного комплекса производительностью 40 тонн в час в д. Красноярка на базе ООО «Искра»;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- строительство склада на 6000 тонн в д. Красноярка на базе ООО «Искра»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- строительство сушильного комплекса в п. Новый КФХ Бабичева В.П.;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- строительство ангара для хранения техники в с. Чусовитино в ИП глава КФХ Тупицин А.Н.;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- строительство зерносушильного комплекса в д. Новогеоргиевка на базе ИП глава КФХ Собора Г.П.</w:t>
      </w:r>
    </w:p>
    <w:p w:rsidR="00B46DB6" w:rsidRPr="00EF10C9" w:rsidRDefault="00B46DB6" w:rsidP="00EF10C9"/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7. Консолидированный бюджет муниципального образования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Основные показатели прогноза социально-экономического развития Ленинск-Кузнецкого муниципального округа на 2023 – 2026 годы разработаны на основе характеристик бюджета муниципального округа на 2022 год, утвержденных Советом народных депутатов Ленинск-Кузнецкого муниципального округа.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Доходы консолидированного бюджета Ленинск-Кузнецкого муниципального округа в 2022 году составили 1437,5 млн. руб., что больше уровня 2021 года на 282,9 млн. руб. Доля налоговых доходов в консолидированном бюджете муниципального округа составляет 29,6%.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Неналоговые доходы бюджета в 2022 году снизились на 7,7 млн. руб.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Расходы консолидированного бюджета в 2022 году составили 1437,8 млн. руб. Профицит бюджета – 9,7 млн. руб.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lastRenderedPageBreak/>
        <w:t xml:space="preserve">Основная доля бюджетных средств была направлена на развитие социального сектора. Доля социальных секторов экономики в расходной части бюджета составила: образование – 42,0%, социальная политика – 11,6%, культура – 9,0%, ЖКХ – 8,1%.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В 2023 году объем доходной части консолидированного бюджета ожидается в размере 1652,32 млн. руб. Расходы бюджета составят 1692,56 млн. руб.</w:t>
      </w:r>
    </w:p>
    <w:p w:rsidR="00A87E3F" w:rsidRPr="00EF10C9" w:rsidRDefault="00A87E3F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В прогнозируемом периоде к концу 2026 года по сравнению с оценкой 2023 года доходная часть бюджета по консервативному варианту уменьшится на 22,9%; по базовому на 22,4 %. 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8. Оплата труда и занятость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В 2022 году средняя номинальная начисленная заработная плата работников составила 60616,5 руб. (рост 17,56% к уровню 2021 года), в том числе по крупным и средним организациям – 64711,25 руб. (рост 15,12%), малым предприятиям – 25685,93 руб. (рост 44,5%).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В прогнозируемом периоде к 2026 году размер средней заработной платы составит 90,5 тыс. руб., в том числе по крупным и средним предприятиям – 96,0 тыс. рублей, малым предприятиям – 39,3 тыс. руб.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Численность работающих в организациях муниципального округа в 2022 году составила 5,442 тыс. человек, что на 3,2% меньше уровня 2021 года.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На 2026 год прогнозируется численность работников – 5,3 тыс. человек.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Уровень зарегистрированной безработицы (к трудоспособному населению) на конец декабря 2022 года составил 1,3%. Численность безработных на 01.01.2023 составила 139 человек. Оценка численности безработных на 2023 год составляет 100 человек.</w:t>
      </w:r>
    </w:p>
    <w:p w:rsidR="00B46DB6" w:rsidRPr="00EF10C9" w:rsidRDefault="00B46DB6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9. Перечень основных проблемных вопросов развития муниципального округа, сдерживающих его социально-экономическое развитие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Для успешной реализации прогноза социально-экономического развития Ленинск-Кузнецкого муниципального округа основными приоритетами экономической политики, проводимой органами местного самоуправления Ленинск-Кузнецкого муниципального округа, должны стать: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1. Улучшение инвестиционного климата и содействие деятельности представителей бизнеса.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2. Строительство и модернизация инфраструктуры муниципального хозяйства.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3. Повышение качества предоставления муниципальных услуг населению. 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4. Создание благоприятных, комфортных условий проживания населения на территории Ленинск-Кузнецкого муниципального округа.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5. Привлечение большей части экономически активного населения в реальное производство.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6.</w:t>
      </w:r>
      <w:r w:rsidR="00A87E3F" w:rsidRPr="00EF10C9">
        <w:rPr>
          <w:rFonts w:eastAsia="Calibri"/>
        </w:rPr>
        <w:t xml:space="preserve"> </w:t>
      </w:r>
      <w:r w:rsidRPr="00EF10C9">
        <w:rPr>
          <w:rFonts w:eastAsia="Calibri"/>
        </w:rPr>
        <w:t>Выполнение основных показателей экономического и социального развития муниципального образования.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7. Создание новых рабочих мест и повышение занятости населения.</w:t>
      </w:r>
    </w:p>
    <w:p w:rsidR="00A87E3F" w:rsidRPr="00EF10C9" w:rsidRDefault="00A87E3F" w:rsidP="00EF10C9">
      <w:pPr>
        <w:rPr>
          <w:rFonts w:eastAsia="Calibri"/>
        </w:rPr>
      </w:pPr>
    </w:p>
    <w:p w:rsidR="00A87E3F" w:rsidRPr="00EF10C9" w:rsidRDefault="00A87E3F" w:rsidP="00EF10C9">
      <w:pPr>
        <w:rPr>
          <w:rFonts w:eastAsia="Calibri"/>
        </w:rPr>
      </w:pP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8. Повышение уровня оплаты труда и ее легализация во всех отраслях экономики.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>9. Эффективное использование муниципальной собственности. Создание условий для увеличения количества земельных участков, являющихся объектами налогообложения путем предоставления в собственность, а также выявления земельных участков, используемых без правоустанавливающих документов.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lastRenderedPageBreak/>
        <w:t>10. Развитие материальной базы ЖКХ, образования, культуры и других отраслей бюджетной сферы.</w:t>
      </w:r>
    </w:p>
    <w:p w:rsidR="00B46DB6" w:rsidRPr="00EF10C9" w:rsidRDefault="00B46DB6" w:rsidP="00EF10C9">
      <w:pPr>
        <w:rPr>
          <w:rFonts w:eastAsia="Calibri"/>
        </w:rPr>
      </w:pPr>
      <w:r w:rsidRPr="00EF10C9">
        <w:rPr>
          <w:rFonts w:eastAsia="Calibri"/>
        </w:rPr>
        <w:t xml:space="preserve">11. Строительство и реконструкция водопроводных сетей, строительство и ремонт дорог с твердым покрытием, ремонт объектов бюджетной сферы, благоустройство населенных пунктов, в том числе за счет активного участия в федеральных и региональных программах. </w:t>
      </w:r>
    </w:p>
    <w:p w:rsidR="00BF6407" w:rsidRPr="00EF10C9" w:rsidRDefault="00BF6407" w:rsidP="00EF10C9"/>
    <w:sectPr w:rsidR="00BF6407" w:rsidRPr="00EF10C9" w:rsidSect="00EF10C9"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603" w:rsidRDefault="00B25603">
      <w:r>
        <w:separator/>
      </w:r>
    </w:p>
  </w:endnote>
  <w:endnote w:type="continuationSeparator" w:id="0">
    <w:p w:rsidR="00B25603" w:rsidRDefault="00B2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B6" w:rsidRDefault="00B46DB6">
    <w:pPr>
      <w:pStyle w:val="af1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6DB6" w:rsidRDefault="00B46DB6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B6" w:rsidRDefault="00B46DB6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603" w:rsidRDefault="00B25603">
      <w:r>
        <w:separator/>
      </w:r>
    </w:p>
  </w:footnote>
  <w:footnote w:type="continuationSeparator" w:id="0">
    <w:p w:rsidR="00B25603" w:rsidRDefault="00B25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B6" w:rsidRDefault="00B46DB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6DB6" w:rsidRDefault="00B46DB6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B6" w:rsidRDefault="00B46DB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C2B8D">
      <w:rPr>
        <w:rStyle w:val="a7"/>
        <w:noProof/>
      </w:rPr>
      <w:t>2</w:t>
    </w:r>
    <w:r>
      <w:rPr>
        <w:rStyle w:val="a7"/>
      </w:rPr>
      <w:fldChar w:fldCharType="end"/>
    </w:r>
  </w:p>
  <w:p w:rsidR="00B46DB6" w:rsidRPr="00B32BCC" w:rsidRDefault="00B46DB6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B6" w:rsidRDefault="00B46DB6" w:rsidP="00B46DB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6DB6" w:rsidRDefault="00B46DB6">
    <w:pPr>
      <w:pStyle w:val="a5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B6" w:rsidRDefault="00B46DB6" w:rsidP="00B46DB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C2B8D">
      <w:rPr>
        <w:rStyle w:val="a7"/>
        <w:noProof/>
      </w:rPr>
      <w:t>6</w:t>
    </w:r>
    <w:r>
      <w:rPr>
        <w:rStyle w:val="a7"/>
      </w:rPr>
      <w:fldChar w:fldCharType="end"/>
    </w:r>
  </w:p>
  <w:p w:rsidR="00B46DB6" w:rsidRDefault="00B46DB6">
    <w:pPr>
      <w:pStyle w:val="a5"/>
      <w:framePr w:wrap="around" w:vAnchor="text" w:hAnchor="margin" w:xAlign="right" w:y="1"/>
      <w:rPr>
        <w:rStyle w:val="a7"/>
      </w:rPr>
    </w:pPr>
  </w:p>
  <w:p w:rsidR="00B46DB6" w:rsidRDefault="00B46DB6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422CB"/>
    <w:multiLevelType w:val="hybridMultilevel"/>
    <w:tmpl w:val="B4D249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1734A"/>
    <w:rsid w:val="000202E6"/>
    <w:rsid w:val="000407C8"/>
    <w:rsid w:val="000470CF"/>
    <w:rsid w:val="0005012D"/>
    <w:rsid w:val="000509C4"/>
    <w:rsid w:val="00073763"/>
    <w:rsid w:val="000767CA"/>
    <w:rsid w:val="00083492"/>
    <w:rsid w:val="00087534"/>
    <w:rsid w:val="000A00FA"/>
    <w:rsid w:val="000A2AE6"/>
    <w:rsid w:val="000B1A9F"/>
    <w:rsid w:val="000B21DD"/>
    <w:rsid w:val="000C3B0B"/>
    <w:rsid w:val="000C41E8"/>
    <w:rsid w:val="000F0043"/>
    <w:rsid w:val="000F00A4"/>
    <w:rsid w:val="000F1316"/>
    <w:rsid w:val="000F1D62"/>
    <w:rsid w:val="000F399B"/>
    <w:rsid w:val="0010275B"/>
    <w:rsid w:val="00103B02"/>
    <w:rsid w:val="00103ED6"/>
    <w:rsid w:val="00104EE0"/>
    <w:rsid w:val="001142F9"/>
    <w:rsid w:val="00115702"/>
    <w:rsid w:val="00117FC3"/>
    <w:rsid w:val="00121357"/>
    <w:rsid w:val="00122186"/>
    <w:rsid w:val="00134A42"/>
    <w:rsid w:val="00136524"/>
    <w:rsid w:val="00137292"/>
    <w:rsid w:val="00151FC3"/>
    <w:rsid w:val="00154161"/>
    <w:rsid w:val="00155EE6"/>
    <w:rsid w:val="00160204"/>
    <w:rsid w:val="001644C9"/>
    <w:rsid w:val="00164C78"/>
    <w:rsid w:val="001718A7"/>
    <w:rsid w:val="00171E39"/>
    <w:rsid w:val="001751BB"/>
    <w:rsid w:val="001769B6"/>
    <w:rsid w:val="00182C0D"/>
    <w:rsid w:val="00184FE7"/>
    <w:rsid w:val="00185B67"/>
    <w:rsid w:val="00190533"/>
    <w:rsid w:val="001931CF"/>
    <w:rsid w:val="00193F04"/>
    <w:rsid w:val="001A38E5"/>
    <w:rsid w:val="001B098A"/>
    <w:rsid w:val="001D1823"/>
    <w:rsid w:val="001D2E6C"/>
    <w:rsid w:val="001F605A"/>
    <w:rsid w:val="00226C74"/>
    <w:rsid w:val="00233CCD"/>
    <w:rsid w:val="0023682C"/>
    <w:rsid w:val="00236DCB"/>
    <w:rsid w:val="00240FFA"/>
    <w:rsid w:val="002423D1"/>
    <w:rsid w:val="002428F5"/>
    <w:rsid w:val="002448A6"/>
    <w:rsid w:val="00250F40"/>
    <w:rsid w:val="00253042"/>
    <w:rsid w:val="00260777"/>
    <w:rsid w:val="00260925"/>
    <w:rsid w:val="00264EA1"/>
    <w:rsid w:val="00265B97"/>
    <w:rsid w:val="002670BB"/>
    <w:rsid w:val="002722B2"/>
    <w:rsid w:val="00280C76"/>
    <w:rsid w:val="0028150C"/>
    <w:rsid w:val="00285DD9"/>
    <w:rsid w:val="00287D2F"/>
    <w:rsid w:val="00293EB4"/>
    <w:rsid w:val="00295205"/>
    <w:rsid w:val="0029701B"/>
    <w:rsid w:val="002A3B85"/>
    <w:rsid w:val="002B4372"/>
    <w:rsid w:val="002C23A0"/>
    <w:rsid w:val="002C51DE"/>
    <w:rsid w:val="002D0B85"/>
    <w:rsid w:val="002D3B2E"/>
    <w:rsid w:val="002D481F"/>
    <w:rsid w:val="002D498A"/>
    <w:rsid w:val="002E134A"/>
    <w:rsid w:val="002E3B3D"/>
    <w:rsid w:val="002E49D6"/>
    <w:rsid w:val="002E51CE"/>
    <w:rsid w:val="002F08B3"/>
    <w:rsid w:val="002F5199"/>
    <w:rsid w:val="002F7754"/>
    <w:rsid w:val="0030063A"/>
    <w:rsid w:val="00303C12"/>
    <w:rsid w:val="0030632B"/>
    <w:rsid w:val="00312700"/>
    <w:rsid w:val="00313BFD"/>
    <w:rsid w:val="00314FD6"/>
    <w:rsid w:val="0031525A"/>
    <w:rsid w:val="003169A0"/>
    <w:rsid w:val="0033068D"/>
    <w:rsid w:val="00342EE2"/>
    <w:rsid w:val="00343B79"/>
    <w:rsid w:val="00343DAD"/>
    <w:rsid w:val="00345B4A"/>
    <w:rsid w:val="00357973"/>
    <w:rsid w:val="003648E4"/>
    <w:rsid w:val="00370532"/>
    <w:rsid w:val="00370CAF"/>
    <w:rsid w:val="00374736"/>
    <w:rsid w:val="00376299"/>
    <w:rsid w:val="00376375"/>
    <w:rsid w:val="0038731F"/>
    <w:rsid w:val="00393B99"/>
    <w:rsid w:val="0039711F"/>
    <w:rsid w:val="003A11A0"/>
    <w:rsid w:val="003A3F7A"/>
    <w:rsid w:val="003A6E9A"/>
    <w:rsid w:val="003B0A92"/>
    <w:rsid w:val="003B223E"/>
    <w:rsid w:val="003C2B8D"/>
    <w:rsid w:val="003D0DC5"/>
    <w:rsid w:val="003D0FA7"/>
    <w:rsid w:val="003D160F"/>
    <w:rsid w:val="003E089D"/>
    <w:rsid w:val="003E1A1E"/>
    <w:rsid w:val="003E725A"/>
    <w:rsid w:val="003E75F7"/>
    <w:rsid w:val="003F1EDC"/>
    <w:rsid w:val="003F2961"/>
    <w:rsid w:val="00402FF5"/>
    <w:rsid w:val="00404C9F"/>
    <w:rsid w:val="00405A24"/>
    <w:rsid w:val="00406010"/>
    <w:rsid w:val="004078DB"/>
    <w:rsid w:val="0041184C"/>
    <w:rsid w:val="0041446C"/>
    <w:rsid w:val="00424DBB"/>
    <w:rsid w:val="004460D9"/>
    <w:rsid w:val="0045420D"/>
    <w:rsid w:val="00467926"/>
    <w:rsid w:val="00470FC6"/>
    <w:rsid w:val="00475434"/>
    <w:rsid w:val="00476D50"/>
    <w:rsid w:val="00477EE1"/>
    <w:rsid w:val="004818BC"/>
    <w:rsid w:val="00481CAC"/>
    <w:rsid w:val="00485BF3"/>
    <w:rsid w:val="004963FA"/>
    <w:rsid w:val="004976AD"/>
    <w:rsid w:val="004A3418"/>
    <w:rsid w:val="004A5D16"/>
    <w:rsid w:val="004A6A6E"/>
    <w:rsid w:val="004B1FA7"/>
    <w:rsid w:val="004C3B74"/>
    <w:rsid w:val="004C4EF6"/>
    <w:rsid w:val="004C5D66"/>
    <w:rsid w:val="004D09F3"/>
    <w:rsid w:val="004D4E01"/>
    <w:rsid w:val="004E2215"/>
    <w:rsid w:val="004E306B"/>
    <w:rsid w:val="004E5510"/>
    <w:rsid w:val="004E57EF"/>
    <w:rsid w:val="004F03C6"/>
    <w:rsid w:val="004F56D9"/>
    <w:rsid w:val="004F5FCD"/>
    <w:rsid w:val="004F73AD"/>
    <w:rsid w:val="00507842"/>
    <w:rsid w:val="005121F2"/>
    <w:rsid w:val="0051787B"/>
    <w:rsid w:val="00520662"/>
    <w:rsid w:val="005207F7"/>
    <w:rsid w:val="005362A5"/>
    <w:rsid w:val="00536A1F"/>
    <w:rsid w:val="00542B1C"/>
    <w:rsid w:val="00545E2F"/>
    <w:rsid w:val="00550FF3"/>
    <w:rsid w:val="00557020"/>
    <w:rsid w:val="00570779"/>
    <w:rsid w:val="00571BC7"/>
    <w:rsid w:val="00575F6E"/>
    <w:rsid w:val="005A43EA"/>
    <w:rsid w:val="005A72E1"/>
    <w:rsid w:val="005B3B16"/>
    <w:rsid w:val="005B4199"/>
    <w:rsid w:val="005B6083"/>
    <w:rsid w:val="005C3861"/>
    <w:rsid w:val="005D0C45"/>
    <w:rsid w:val="005D267C"/>
    <w:rsid w:val="005E7427"/>
    <w:rsid w:val="005E7716"/>
    <w:rsid w:val="005F2459"/>
    <w:rsid w:val="00600DD8"/>
    <w:rsid w:val="0061719F"/>
    <w:rsid w:val="006207CD"/>
    <w:rsid w:val="006228E3"/>
    <w:rsid w:val="00634C41"/>
    <w:rsid w:val="00635950"/>
    <w:rsid w:val="0064054A"/>
    <w:rsid w:val="006447C6"/>
    <w:rsid w:val="00650EF4"/>
    <w:rsid w:val="00651492"/>
    <w:rsid w:val="006527AB"/>
    <w:rsid w:val="006542B4"/>
    <w:rsid w:val="00655DCC"/>
    <w:rsid w:val="00664173"/>
    <w:rsid w:val="006676A7"/>
    <w:rsid w:val="00671D4F"/>
    <w:rsid w:val="00677BC2"/>
    <w:rsid w:val="006802A4"/>
    <w:rsid w:val="00681F43"/>
    <w:rsid w:val="00682608"/>
    <w:rsid w:val="0068531B"/>
    <w:rsid w:val="00686A0C"/>
    <w:rsid w:val="006906B8"/>
    <w:rsid w:val="00696412"/>
    <w:rsid w:val="00696517"/>
    <w:rsid w:val="006A52B7"/>
    <w:rsid w:val="006B050C"/>
    <w:rsid w:val="006B3097"/>
    <w:rsid w:val="006B3BBD"/>
    <w:rsid w:val="006B3C05"/>
    <w:rsid w:val="006D09E8"/>
    <w:rsid w:val="006D5D5C"/>
    <w:rsid w:val="00704D23"/>
    <w:rsid w:val="00715803"/>
    <w:rsid w:val="00715840"/>
    <w:rsid w:val="0072137E"/>
    <w:rsid w:val="00721DF7"/>
    <w:rsid w:val="00730C2E"/>
    <w:rsid w:val="007348B9"/>
    <w:rsid w:val="00740F1E"/>
    <w:rsid w:val="00750849"/>
    <w:rsid w:val="00756535"/>
    <w:rsid w:val="007629B3"/>
    <w:rsid w:val="0076406E"/>
    <w:rsid w:val="00772E4B"/>
    <w:rsid w:val="00777A7B"/>
    <w:rsid w:val="00783C8C"/>
    <w:rsid w:val="007877A8"/>
    <w:rsid w:val="00794C4C"/>
    <w:rsid w:val="00795F91"/>
    <w:rsid w:val="00797A89"/>
    <w:rsid w:val="007A06CF"/>
    <w:rsid w:val="007A226A"/>
    <w:rsid w:val="007A395B"/>
    <w:rsid w:val="007A755C"/>
    <w:rsid w:val="007A7CF9"/>
    <w:rsid w:val="007C11CB"/>
    <w:rsid w:val="007C4CE9"/>
    <w:rsid w:val="007D0FE9"/>
    <w:rsid w:val="007D32C3"/>
    <w:rsid w:val="007D5A25"/>
    <w:rsid w:val="007D6EFD"/>
    <w:rsid w:val="007E141B"/>
    <w:rsid w:val="007E312B"/>
    <w:rsid w:val="007E4394"/>
    <w:rsid w:val="007E6905"/>
    <w:rsid w:val="007E7583"/>
    <w:rsid w:val="007F0326"/>
    <w:rsid w:val="007F77B7"/>
    <w:rsid w:val="008145B1"/>
    <w:rsid w:val="0082235F"/>
    <w:rsid w:val="008240C0"/>
    <w:rsid w:val="00824401"/>
    <w:rsid w:val="00825119"/>
    <w:rsid w:val="0083363E"/>
    <w:rsid w:val="00833675"/>
    <w:rsid w:val="0083409D"/>
    <w:rsid w:val="00842F97"/>
    <w:rsid w:val="0084481E"/>
    <w:rsid w:val="00854CF8"/>
    <w:rsid w:val="008576B3"/>
    <w:rsid w:val="008619DA"/>
    <w:rsid w:val="00863C64"/>
    <w:rsid w:val="00876EE1"/>
    <w:rsid w:val="008775FB"/>
    <w:rsid w:val="0088212E"/>
    <w:rsid w:val="00885D82"/>
    <w:rsid w:val="00893B0C"/>
    <w:rsid w:val="0089671B"/>
    <w:rsid w:val="008C557F"/>
    <w:rsid w:val="008D64A8"/>
    <w:rsid w:val="008E3F21"/>
    <w:rsid w:val="008F49DC"/>
    <w:rsid w:val="00904E7B"/>
    <w:rsid w:val="009131C8"/>
    <w:rsid w:val="009141E1"/>
    <w:rsid w:val="0091505B"/>
    <w:rsid w:val="009158F3"/>
    <w:rsid w:val="00922CC2"/>
    <w:rsid w:val="00926969"/>
    <w:rsid w:val="00933502"/>
    <w:rsid w:val="00935E96"/>
    <w:rsid w:val="0094021C"/>
    <w:rsid w:val="00940447"/>
    <w:rsid w:val="00950784"/>
    <w:rsid w:val="0095141C"/>
    <w:rsid w:val="00953078"/>
    <w:rsid w:val="00960A80"/>
    <w:rsid w:val="00963C93"/>
    <w:rsid w:val="009730C6"/>
    <w:rsid w:val="00985223"/>
    <w:rsid w:val="0099128B"/>
    <w:rsid w:val="00991934"/>
    <w:rsid w:val="009A01F8"/>
    <w:rsid w:val="009A607D"/>
    <w:rsid w:val="009B001F"/>
    <w:rsid w:val="009C034F"/>
    <w:rsid w:val="009C36E7"/>
    <w:rsid w:val="009C76D9"/>
    <w:rsid w:val="009D4ACF"/>
    <w:rsid w:val="009D7603"/>
    <w:rsid w:val="009E24EF"/>
    <w:rsid w:val="009E3047"/>
    <w:rsid w:val="009F0D00"/>
    <w:rsid w:val="009F2B39"/>
    <w:rsid w:val="00A009E7"/>
    <w:rsid w:val="00A026F4"/>
    <w:rsid w:val="00A13CB6"/>
    <w:rsid w:val="00A20DD5"/>
    <w:rsid w:val="00A20FEE"/>
    <w:rsid w:val="00A35145"/>
    <w:rsid w:val="00A36A85"/>
    <w:rsid w:val="00A51FA3"/>
    <w:rsid w:val="00A55C50"/>
    <w:rsid w:val="00A61DCC"/>
    <w:rsid w:val="00A66D51"/>
    <w:rsid w:val="00A76DFF"/>
    <w:rsid w:val="00A77768"/>
    <w:rsid w:val="00A84A72"/>
    <w:rsid w:val="00A87E3F"/>
    <w:rsid w:val="00A94441"/>
    <w:rsid w:val="00AA3049"/>
    <w:rsid w:val="00AB3798"/>
    <w:rsid w:val="00AB3800"/>
    <w:rsid w:val="00AB4D18"/>
    <w:rsid w:val="00AB5EB6"/>
    <w:rsid w:val="00AC3341"/>
    <w:rsid w:val="00AC735D"/>
    <w:rsid w:val="00AD0E1A"/>
    <w:rsid w:val="00AE073E"/>
    <w:rsid w:val="00AE22EC"/>
    <w:rsid w:val="00AE45E2"/>
    <w:rsid w:val="00AF14E7"/>
    <w:rsid w:val="00AF5B4B"/>
    <w:rsid w:val="00AF656A"/>
    <w:rsid w:val="00AF73DC"/>
    <w:rsid w:val="00AF7424"/>
    <w:rsid w:val="00B049E9"/>
    <w:rsid w:val="00B04BAA"/>
    <w:rsid w:val="00B04FC6"/>
    <w:rsid w:val="00B05F77"/>
    <w:rsid w:val="00B07CF9"/>
    <w:rsid w:val="00B10466"/>
    <w:rsid w:val="00B25603"/>
    <w:rsid w:val="00B32BCC"/>
    <w:rsid w:val="00B34D5F"/>
    <w:rsid w:val="00B3759E"/>
    <w:rsid w:val="00B46DB6"/>
    <w:rsid w:val="00B54C61"/>
    <w:rsid w:val="00B57235"/>
    <w:rsid w:val="00B6389C"/>
    <w:rsid w:val="00B714E8"/>
    <w:rsid w:val="00B74B72"/>
    <w:rsid w:val="00B7727B"/>
    <w:rsid w:val="00B77609"/>
    <w:rsid w:val="00B81342"/>
    <w:rsid w:val="00B823D4"/>
    <w:rsid w:val="00B87D11"/>
    <w:rsid w:val="00B95EE5"/>
    <w:rsid w:val="00BA15D7"/>
    <w:rsid w:val="00BA6128"/>
    <w:rsid w:val="00BC2857"/>
    <w:rsid w:val="00BE4C6B"/>
    <w:rsid w:val="00BF3F55"/>
    <w:rsid w:val="00BF4326"/>
    <w:rsid w:val="00BF6407"/>
    <w:rsid w:val="00BF7F6F"/>
    <w:rsid w:val="00C0077C"/>
    <w:rsid w:val="00C014ED"/>
    <w:rsid w:val="00C04D01"/>
    <w:rsid w:val="00C06CD1"/>
    <w:rsid w:val="00C37D62"/>
    <w:rsid w:val="00C40B15"/>
    <w:rsid w:val="00C447BA"/>
    <w:rsid w:val="00C46C5D"/>
    <w:rsid w:val="00C5152D"/>
    <w:rsid w:val="00C5624A"/>
    <w:rsid w:val="00C570DF"/>
    <w:rsid w:val="00C63198"/>
    <w:rsid w:val="00C73612"/>
    <w:rsid w:val="00C7620F"/>
    <w:rsid w:val="00C77784"/>
    <w:rsid w:val="00C84977"/>
    <w:rsid w:val="00C9265A"/>
    <w:rsid w:val="00CA01CC"/>
    <w:rsid w:val="00CA1AE8"/>
    <w:rsid w:val="00CB3C8F"/>
    <w:rsid w:val="00CB477E"/>
    <w:rsid w:val="00CB63C7"/>
    <w:rsid w:val="00CC0D26"/>
    <w:rsid w:val="00CC7DBD"/>
    <w:rsid w:val="00CD0AC4"/>
    <w:rsid w:val="00CD12A3"/>
    <w:rsid w:val="00CD1767"/>
    <w:rsid w:val="00CD5B0E"/>
    <w:rsid w:val="00CD6B3F"/>
    <w:rsid w:val="00CF7D6C"/>
    <w:rsid w:val="00D055EA"/>
    <w:rsid w:val="00D0578C"/>
    <w:rsid w:val="00D12C7C"/>
    <w:rsid w:val="00D134AF"/>
    <w:rsid w:val="00D152A9"/>
    <w:rsid w:val="00D158F1"/>
    <w:rsid w:val="00D159E6"/>
    <w:rsid w:val="00D17E31"/>
    <w:rsid w:val="00D2394A"/>
    <w:rsid w:val="00D24D01"/>
    <w:rsid w:val="00D30832"/>
    <w:rsid w:val="00D37D1B"/>
    <w:rsid w:val="00D37E08"/>
    <w:rsid w:val="00D50307"/>
    <w:rsid w:val="00D6041F"/>
    <w:rsid w:val="00D64AEA"/>
    <w:rsid w:val="00D661E8"/>
    <w:rsid w:val="00D81C56"/>
    <w:rsid w:val="00D9587D"/>
    <w:rsid w:val="00DB264D"/>
    <w:rsid w:val="00DC1588"/>
    <w:rsid w:val="00DC51A8"/>
    <w:rsid w:val="00DD15DC"/>
    <w:rsid w:val="00DD1ECD"/>
    <w:rsid w:val="00DE0C92"/>
    <w:rsid w:val="00DE4ED0"/>
    <w:rsid w:val="00DE5B74"/>
    <w:rsid w:val="00DE7149"/>
    <w:rsid w:val="00DE720C"/>
    <w:rsid w:val="00DF2BCF"/>
    <w:rsid w:val="00E00168"/>
    <w:rsid w:val="00E00DE5"/>
    <w:rsid w:val="00E028CB"/>
    <w:rsid w:val="00E0422C"/>
    <w:rsid w:val="00E100AE"/>
    <w:rsid w:val="00E15B79"/>
    <w:rsid w:val="00E16EF8"/>
    <w:rsid w:val="00E200FB"/>
    <w:rsid w:val="00E24A91"/>
    <w:rsid w:val="00E26B43"/>
    <w:rsid w:val="00E3394A"/>
    <w:rsid w:val="00E340FF"/>
    <w:rsid w:val="00E4145C"/>
    <w:rsid w:val="00E41484"/>
    <w:rsid w:val="00E45840"/>
    <w:rsid w:val="00E458DF"/>
    <w:rsid w:val="00E45B01"/>
    <w:rsid w:val="00E52ED4"/>
    <w:rsid w:val="00E54B97"/>
    <w:rsid w:val="00E559EE"/>
    <w:rsid w:val="00E6507F"/>
    <w:rsid w:val="00E6616A"/>
    <w:rsid w:val="00E75AD7"/>
    <w:rsid w:val="00E82BB4"/>
    <w:rsid w:val="00E83DA1"/>
    <w:rsid w:val="00E93B3F"/>
    <w:rsid w:val="00EA457B"/>
    <w:rsid w:val="00EA4A76"/>
    <w:rsid w:val="00EB7C17"/>
    <w:rsid w:val="00EC2C03"/>
    <w:rsid w:val="00EC5AC6"/>
    <w:rsid w:val="00EC680A"/>
    <w:rsid w:val="00EC6F96"/>
    <w:rsid w:val="00ED0B56"/>
    <w:rsid w:val="00ED4F53"/>
    <w:rsid w:val="00EE0A3A"/>
    <w:rsid w:val="00EE3D01"/>
    <w:rsid w:val="00EE54E7"/>
    <w:rsid w:val="00EE739B"/>
    <w:rsid w:val="00EF0EE7"/>
    <w:rsid w:val="00EF10C9"/>
    <w:rsid w:val="00EF318B"/>
    <w:rsid w:val="00EF76FE"/>
    <w:rsid w:val="00F04036"/>
    <w:rsid w:val="00F06E3A"/>
    <w:rsid w:val="00F12A75"/>
    <w:rsid w:val="00F1694A"/>
    <w:rsid w:val="00F178CA"/>
    <w:rsid w:val="00F20869"/>
    <w:rsid w:val="00F239B1"/>
    <w:rsid w:val="00F25617"/>
    <w:rsid w:val="00F261E2"/>
    <w:rsid w:val="00F30228"/>
    <w:rsid w:val="00F3219A"/>
    <w:rsid w:val="00F3419C"/>
    <w:rsid w:val="00F4200F"/>
    <w:rsid w:val="00F435FB"/>
    <w:rsid w:val="00F53185"/>
    <w:rsid w:val="00F627C0"/>
    <w:rsid w:val="00F661F8"/>
    <w:rsid w:val="00F66B31"/>
    <w:rsid w:val="00F70069"/>
    <w:rsid w:val="00F70704"/>
    <w:rsid w:val="00F71F35"/>
    <w:rsid w:val="00F76286"/>
    <w:rsid w:val="00F906B1"/>
    <w:rsid w:val="00F914D2"/>
    <w:rsid w:val="00F9453F"/>
    <w:rsid w:val="00F95982"/>
    <w:rsid w:val="00F96906"/>
    <w:rsid w:val="00F97EF5"/>
    <w:rsid w:val="00FA056B"/>
    <w:rsid w:val="00FA1C38"/>
    <w:rsid w:val="00FA48A0"/>
    <w:rsid w:val="00FA6772"/>
    <w:rsid w:val="00FC0D67"/>
    <w:rsid w:val="00FC69B4"/>
    <w:rsid w:val="00FC73D6"/>
    <w:rsid w:val="00FD2085"/>
    <w:rsid w:val="00FE21F6"/>
    <w:rsid w:val="00FE40DD"/>
    <w:rsid w:val="00FE58B3"/>
    <w:rsid w:val="00FF098A"/>
    <w:rsid w:val="00FF0E9C"/>
    <w:rsid w:val="00FF1368"/>
    <w:rsid w:val="00FF5F22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C2B8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C2B8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C2B8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C2B8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C2B8D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C3861"/>
    <w:pPr>
      <w:keepNext/>
      <w:ind w:firstLine="0"/>
      <w:jc w:val="center"/>
      <w:outlineLvl w:val="4"/>
    </w:pPr>
    <w:rPr>
      <w:rFonts w:ascii="Times New Roman" w:hAnsi="Times New Roman"/>
      <w:sz w:val="28"/>
    </w:rPr>
  </w:style>
  <w:style w:type="character" w:default="1" w:styleId="a0">
    <w:name w:val="Default Paragraph Font"/>
    <w:semiHidden/>
    <w:rsid w:val="003C2B8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C2B8D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link w:val="a4"/>
    <w:pPr>
      <w:spacing w:after="120"/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link w:val="a9"/>
    <w:pPr>
      <w:ind w:firstLine="709"/>
    </w:pPr>
    <w:rPr>
      <w:rFonts w:ascii="Academy" w:hAnsi="Academy"/>
      <w:color w:val="008080"/>
      <w:sz w:val="28"/>
    </w:rPr>
  </w:style>
  <w:style w:type="table" w:styleId="aa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c">
    <w:name w:val="Title"/>
    <w:basedOn w:val="a"/>
    <w:link w:val="ad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character" w:customStyle="1" w:styleId="30">
    <w:name w:val="Заголовок 3 Знак"/>
    <w:aliases w:val="!Главы документа Знак"/>
    <w:link w:val="3"/>
    <w:rsid w:val="005C386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C3861"/>
    <w:rPr>
      <w:rFonts w:ascii="Arial" w:hAnsi="Arial"/>
      <w:b/>
      <w:bCs/>
      <w:sz w:val="26"/>
      <w:szCs w:val="28"/>
    </w:rPr>
  </w:style>
  <w:style w:type="character" w:customStyle="1" w:styleId="20">
    <w:name w:val="Заголовок 2 Знак"/>
    <w:aliases w:val="!Разделы документа Знак"/>
    <w:link w:val="2"/>
    <w:rsid w:val="005C3861"/>
    <w:rPr>
      <w:rFonts w:ascii="Arial" w:hAnsi="Arial" w:cs="Arial"/>
      <w:b/>
      <w:bCs/>
      <w:iCs/>
      <w:sz w:val="30"/>
      <w:szCs w:val="28"/>
    </w:rPr>
  </w:style>
  <w:style w:type="character" w:customStyle="1" w:styleId="50">
    <w:name w:val="Заголовок 5 Знак"/>
    <w:link w:val="5"/>
    <w:rsid w:val="005C3861"/>
    <w:rPr>
      <w:sz w:val="28"/>
    </w:rPr>
  </w:style>
  <w:style w:type="numbering" w:customStyle="1" w:styleId="12">
    <w:name w:val="Нет списка1"/>
    <w:next w:val="a2"/>
    <w:semiHidden/>
    <w:rsid w:val="005C3861"/>
  </w:style>
  <w:style w:type="paragraph" w:customStyle="1" w:styleId="ae">
    <w:name w:val="Знак"/>
    <w:basedOn w:val="a"/>
    <w:rsid w:val="005C386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f">
    <w:name w:val="Balloon Text"/>
    <w:basedOn w:val="a"/>
    <w:link w:val="af0"/>
    <w:uiPriority w:val="99"/>
    <w:rsid w:val="005C3861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5C38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11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footer"/>
    <w:basedOn w:val="a"/>
    <w:link w:val="af2"/>
    <w:uiPriority w:val="99"/>
    <w:rsid w:val="00B32BC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32BCC"/>
    <w:rPr>
      <w:rFonts w:ascii="TimesDL" w:hAnsi="TimesDL"/>
      <w:sz w:val="24"/>
    </w:rPr>
  </w:style>
  <w:style w:type="table" w:customStyle="1" w:styleId="13">
    <w:name w:val="Сетка таблицы1"/>
    <w:basedOn w:val="a1"/>
    <w:next w:val="aa"/>
    <w:uiPriority w:val="59"/>
    <w:rsid w:val="00E82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41446C"/>
    <w:rPr>
      <w:rFonts w:ascii="Academy" w:hAnsi="Academy"/>
      <w:color w:val="008080"/>
      <w:sz w:val="28"/>
    </w:rPr>
  </w:style>
  <w:style w:type="numbering" w:customStyle="1" w:styleId="21">
    <w:name w:val="Нет списка2"/>
    <w:next w:val="a2"/>
    <w:uiPriority w:val="99"/>
    <w:semiHidden/>
    <w:unhideWhenUsed/>
    <w:rsid w:val="00B46DB6"/>
  </w:style>
  <w:style w:type="paragraph" w:styleId="af3">
    <w:name w:val="List Paragraph"/>
    <w:basedOn w:val="a"/>
    <w:uiPriority w:val="34"/>
    <w:qFormat/>
    <w:rsid w:val="00B46DB6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annotation reference"/>
    <w:uiPriority w:val="99"/>
    <w:unhideWhenUsed/>
    <w:rsid w:val="00B46DB6"/>
    <w:rPr>
      <w:sz w:val="16"/>
      <w:szCs w:val="16"/>
    </w:rPr>
  </w:style>
  <w:style w:type="paragraph" w:styleId="af5">
    <w:name w:val="annotation text"/>
    <w:aliases w:val="!Равноширинный текст документа"/>
    <w:basedOn w:val="a"/>
    <w:link w:val="af6"/>
    <w:rsid w:val="003C2B8D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link w:val="af5"/>
    <w:rsid w:val="00B46DB6"/>
    <w:rPr>
      <w:rFonts w:ascii="Courier" w:hAnsi="Courier"/>
      <w:sz w:val="22"/>
    </w:rPr>
  </w:style>
  <w:style w:type="paragraph" w:styleId="af7">
    <w:name w:val="annotation subject"/>
    <w:basedOn w:val="af5"/>
    <w:next w:val="af5"/>
    <w:link w:val="af8"/>
    <w:uiPriority w:val="99"/>
    <w:unhideWhenUsed/>
    <w:rsid w:val="00B46DB6"/>
    <w:rPr>
      <w:b/>
      <w:bCs/>
    </w:rPr>
  </w:style>
  <w:style w:type="character" w:customStyle="1" w:styleId="af8">
    <w:name w:val="Тема примечания Знак"/>
    <w:link w:val="af7"/>
    <w:uiPriority w:val="99"/>
    <w:rsid w:val="00B46DB6"/>
    <w:rPr>
      <w:rFonts w:ascii="Calibri" w:eastAsia="Calibri" w:hAnsi="Calibri"/>
      <w:b/>
      <w:bCs/>
      <w:lang w:eastAsia="en-US"/>
    </w:rPr>
  </w:style>
  <w:style w:type="table" w:customStyle="1" w:styleId="22">
    <w:name w:val="Сетка таблицы2"/>
    <w:basedOn w:val="a1"/>
    <w:next w:val="aa"/>
    <w:uiPriority w:val="59"/>
    <w:rsid w:val="00B46DB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Название Знак"/>
    <w:link w:val="ac"/>
    <w:rsid w:val="00B46DB6"/>
    <w:rPr>
      <w:sz w:val="28"/>
      <w:szCs w:val="24"/>
    </w:rPr>
  </w:style>
  <w:style w:type="paragraph" w:customStyle="1" w:styleId="41">
    <w:name w:val="Стиль4"/>
    <w:basedOn w:val="a"/>
    <w:rsid w:val="00B46DB6"/>
    <w:pPr>
      <w:widowControl w:val="0"/>
      <w:ind w:firstLine="0"/>
      <w:jc w:val="left"/>
    </w:pPr>
    <w:rPr>
      <w:rFonts w:ascii="Times New Roman" w:hAnsi="Times New Roman"/>
    </w:rPr>
  </w:style>
  <w:style w:type="character" w:styleId="af9">
    <w:name w:val="Strong"/>
    <w:qFormat/>
    <w:rsid w:val="00B46DB6"/>
    <w:rPr>
      <w:b/>
      <w:bCs/>
    </w:rPr>
  </w:style>
  <w:style w:type="character" w:customStyle="1" w:styleId="a6">
    <w:name w:val="Верхний колонтитул Знак"/>
    <w:link w:val="a5"/>
    <w:uiPriority w:val="99"/>
    <w:rsid w:val="00B46DB6"/>
    <w:rPr>
      <w:rFonts w:ascii="TimesDL" w:hAnsi="TimesDL"/>
      <w:sz w:val="24"/>
    </w:rPr>
  </w:style>
  <w:style w:type="character" w:styleId="afa">
    <w:name w:val="Hyperlink"/>
    <w:basedOn w:val="a0"/>
    <w:rsid w:val="003C2B8D"/>
    <w:rPr>
      <w:color w:val="0000FF"/>
      <w:u w:val="none"/>
    </w:rPr>
  </w:style>
  <w:style w:type="character" w:styleId="afb">
    <w:name w:val="FollowedHyperlink"/>
    <w:uiPriority w:val="99"/>
    <w:unhideWhenUsed/>
    <w:rsid w:val="00B46DB6"/>
    <w:rPr>
      <w:color w:val="800080"/>
      <w:u w:val="single"/>
    </w:rPr>
  </w:style>
  <w:style w:type="paragraph" w:styleId="afc">
    <w:name w:val="No Spacing"/>
    <w:link w:val="afd"/>
    <w:uiPriority w:val="1"/>
    <w:qFormat/>
    <w:rsid w:val="00B46DB6"/>
    <w:rPr>
      <w:rFonts w:ascii="Calibri" w:hAnsi="Calibri"/>
      <w:sz w:val="22"/>
      <w:szCs w:val="22"/>
    </w:rPr>
  </w:style>
  <w:style w:type="character" w:customStyle="1" w:styleId="afd">
    <w:name w:val="Без интервала Знак"/>
    <w:link w:val="afc"/>
    <w:uiPriority w:val="1"/>
    <w:rsid w:val="00B46DB6"/>
    <w:rPr>
      <w:rFonts w:ascii="Calibri" w:hAnsi="Calibri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rsid w:val="00B46DB6"/>
    <w:rPr>
      <w:rFonts w:ascii="Arial" w:hAnsi="Arial" w:cs="Arial"/>
      <w:b/>
      <w:bCs/>
      <w:kern w:val="32"/>
      <w:sz w:val="32"/>
      <w:szCs w:val="32"/>
    </w:rPr>
  </w:style>
  <w:style w:type="numbering" w:customStyle="1" w:styleId="110">
    <w:name w:val="Нет списка11"/>
    <w:next w:val="a2"/>
    <w:semiHidden/>
    <w:rsid w:val="00B46DB6"/>
  </w:style>
  <w:style w:type="character" w:customStyle="1" w:styleId="a4">
    <w:name w:val="Основной текст Знак"/>
    <w:link w:val="a3"/>
    <w:rsid w:val="00B46DB6"/>
    <w:rPr>
      <w:rFonts w:ascii="TimesDL" w:hAnsi="TimesDL"/>
      <w:sz w:val="24"/>
    </w:rPr>
  </w:style>
  <w:style w:type="paragraph" w:styleId="23">
    <w:name w:val="Body Text 2"/>
    <w:basedOn w:val="a"/>
    <w:link w:val="24"/>
    <w:rsid w:val="00B46DB6"/>
    <w:pPr>
      <w:shd w:val="clear" w:color="auto" w:fill="FFFFFF"/>
      <w:autoSpaceDE w:val="0"/>
      <w:autoSpaceDN w:val="0"/>
      <w:adjustRightInd w:val="0"/>
      <w:ind w:firstLine="0"/>
      <w:jc w:val="left"/>
    </w:pPr>
    <w:rPr>
      <w:rFonts w:ascii="Times New Roman" w:hAnsi="Times New Roman"/>
      <w:color w:val="000000"/>
      <w:sz w:val="28"/>
    </w:rPr>
  </w:style>
  <w:style w:type="character" w:customStyle="1" w:styleId="24">
    <w:name w:val="Основной текст 2 Знак"/>
    <w:link w:val="23"/>
    <w:rsid w:val="00B46DB6"/>
    <w:rPr>
      <w:color w:val="000000"/>
      <w:sz w:val="28"/>
      <w:shd w:val="clear" w:color="auto" w:fill="FFFFFF"/>
    </w:rPr>
  </w:style>
  <w:style w:type="paragraph" w:styleId="31">
    <w:name w:val="Body Text 3"/>
    <w:basedOn w:val="a"/>
    <w:link w:val="32"/>
    <w:rsid w:val="00B46DB6"/>
    <w:pPr>
      <w:ind w:firstLine="0"/>
      <w:jc w:val="left"/>
    </w:pPr>
    <w:rPr>
      <w:rFonts w:ascii="Times New Roman" w:hAnsi="Times New Roman"/>
      <w:sz w:val="28"/>
    </w:rPr>
  </w:style>
  <w:style w:type="character" w:customStyle="1" w:styleId="32">
    <w:name w:val="Основной текст 3 Знак"/>
    <w:link w:val="31"/>
    <w:rsid w:val="00B46DB6"/>
    <w:rPr>
      <w:sz w:val="28"/>
    </w:rPr>
  </w:style>
  <w:style w:type="table" w:customStyle="1" w:styleId="111">
    <w:name w:val="Сетка таблицы11"/>
    <w:basedOn w:val="a1"/>
    <w:next w:val="aa"/>
    <w:rsid w:val="00B4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rmal Indent"/>
    <w:basedOn w:val="a"/>
    <w:rsid w:val="00B46DB6"/>
    <w:pPr>
      <w:ind w:left="708" w:firstLine="0"/>
      <w:jc w:val="left"/>
    </w:pPr>
    <w:rPr>
      <w:rFonts w:ascii="Times New Roman" w:hAnsi="Times New Roman"/>
      <w:sz w:val="20"/>
    </w:rPr>
  </w:style>
  <w:style w:type="paragraph" w:customStyle="1" w:styleId="ConsPlusCell">
    <w:name w:val="ConsPlusCell"/>
    <w:uiPriority w:val="99"/>
    <w:rsid w:val="00B46DB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f">
    <w:name w:val="Знак Знак Знак Знак Знак Знак"/>
    <w:basedOn w:val="a"/>
    <w:rsid w:val="00B46DB6"/>
    <w:pPr>
      <w:widowControl w:val="0"/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numbering" w:customStyle="1" w:styleId="210">
    <w:name w:val="Нет списка21"/>
    <w:next w:val="a2"/>
    <w:semiHidden/>
    <w:rsid w:val="00B46DB6"/>
  </w:style>
  <w:style w:type="paragraph" w:customStyle="1" w:styleId="ConsPlusNonformat">
    <w:name w:val="ConsPlusNonformat"/>
    <w:uiPriority w:val="99"/>
    <w:rsid w:val="00B46D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46DB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customStyle="1" w:styleId="211">
    <w:name w:val="Сетка таблицы21"/>
    <w:basedOn w:val="a1"/>
    <w:next w:val="aa"/>
    <w:rsid w:val="00B4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B4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0">
    <w:name w:val="Document Map"/>
    <w:basedOn w:val="a"/>
    <w:link w:val="aff1"/>
    <w:rsid w:val="00B46DB6"/>
    <w:pPr>
      <w:shd w:val="clear" w:color="auto" w:fill="000080"/>
      <w:ind w:firstLine="0"/>
      <w:jc w:val="left"/>
    </w:pPr>
    <w:rPr>
      <w:rFonts w:ascii="Tahoma" w:hAnsi="Tahoma" w:cs="Tahoma"/>
      <w:sz w:val="20"/>
    </w:rPr>
  </w:style>
  <w:style w:type="character" w:customStyle="1" w:styleId="aff1">
    <w:name w:val="Схема документа Знак"/>
    <w:link w:val="aff0"/>
    <w:rsid w:val="00B46DB6"/>
    <w:rPr>
      <w:rFonts w:ascii="Tahoma" w:hAnsi="Tahoma" w:cs="Tahoma"/>
      <w:shd w:val="clear" w:color="auto" w:fill="000080"/>
    </w:rPr>
  </w:style>
  <w:style w:type="paragraph" w:styleId="aff2">
    <w:name w:val="Normal (Web)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Cell">
    <w:name w:val="ConsCell"/>
    <w:rsid w:val="00B46DB6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numbering" w:customStyle="1" w:styleId="33">
    <w:name w:val="Нет списка3"/>
    <w:next w:val="a2"/>
    <w:semiHidden/>
    <w:rsid w:val="00B46DB6"/>
  </w:style>
  <w:style w:type="numbering" w:customStyle="1" w:styleId="42">
    <w:name w:val="Нет списка4"/>
    <w:next w:val="a2"/>
    <w:semiHidden/>
    <w:rsid w:val="00B46DB6"/>
  </w:style>
  <w:style w:type="table" w:customStyle="1" w:styleId="34">
    <w:name w:val="Сетка таблицы3"/>
    <w:basedOn w:val="a1"/>
    <w:next w:val="aa"/>
    <w:rsid w:val="00B4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46DB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46DB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f3">
    <w:name w:val="Знак Знак Знак Знак Знак Знак"/>
    <w:basedOn w:val="a"/>
    <w:rsid w:val="00B46DB6"/>
    <w:pPr>
      <w:widowControl w:val="0"/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font5">
    <w:name w:val="font5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8"/>
      <w:szCs w:val="28"/>
    </w:rPr>
  </w:style>
  <w:style w:type="paragraph" w:customStyle="1" w:styleId="xl67">
    <w:name w:val="xl6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68">
    <w:name w:val="xl6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69">
    <w:name w:val="xl6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70">
    <w:name w:val="xl7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1">
    <w:name w:val="xl7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2">
    <w:name w:val="xl7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3">
    <w:name w:val="xl7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4">
    <w:name w:val="xl74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5">
    <w:name w:val="xl75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6">
    <w:name w:val="xl7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7">
    <w:name w:val="xl7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ahoma" w:hAnsi="Tahoma" w:cs="Tahoma"/>
      <w:color w:val="000000"/>
      <w:sz w:val="14"/>
      <w:szCs w:val="14"/>
    </w:rPr>
  </w:style>
  <w:style w:type="paragraph" w:customStyle="1" w:styleId="xl78">
    <w:name w:val="xl7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80">
    <w:name w:val="xl8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81">
    <w:name w:val="xl81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82">
    <w:name w:val="xl82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83">
    <w:name w:val="xl83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4">
    <w:name w:val="xl8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5">
    <w:name w:val="xl85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87">
    <w:name w:val="xl87"/>
    <w:basedOn w:val="a"/>
    <w:rsid w:val="00B46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8">
    <w:name w:val="xl8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000000"/>
      <w:sz w:val="28"/>
      <w:szCs w:val="28"/>
    </w:rPr>
  </w:style>
  <w:style w:type="paragraph" w:customStyle="1" w:styleId="xl89">
    <w:name w:val="xl89"/>
    <w:basedOn w:val="a"/>
    <w:rsid w:val="00B46DB6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0">
    <w:name w:val="xl9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1">
    <w:name w:val="xl9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2">
    <w:name w:val="xl9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3">
    <w:name w:val="xl9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4">
    <w:name w:val="xl9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5">
    <w:name w:val="xl9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6">
    <w:name w:val="xl9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7">
    <w:name w:val="xl9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8">
    <w:name w:val="xl9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9">
    <w:name w:val="xl9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0">
    <w:name w:val="xl10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1">
    <w:name w:val="xl10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2">
    <w:name w:val="xl10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3">
    <w:name w:val="xl10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4">
    <w:name w:val="xl10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5">
    <w:name w:val="xl10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6">
    <w:name w:val="xl10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FF0000"/>
      <w:sz w:val="28"/>
      <w:szCs w:val="28"/>
    </w:rPr>
  </w:style>
  <w:style w:type="paragraph" w:customStyle="1" w:styleId="xl107">
    <w:name w:val="xl10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08">
    <w:name w:val="xl10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09">
    <w:name w:val="xl109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FF0000"/>
    </w:rPr>
  </w:style>
  <w:style w:type="paragraph" w:customStyle="1" w:styleId="xl110">
    <w:name w:val="xl11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11">
    <w:name w:val="xl11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2">
    <w:name w:val="xl11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3">
    <w:name w:val="xl11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14">
    <w:name w:val="xl11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5">
    <w:name w:val="xl11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6">
    <w:name w:val="xl11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7">
    <w:name w:val="xl11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8">
    <w:name w:val="xl11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9">
    <w:name w:val="xl11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0">
    <w:name w:val="xl12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1">
    <w:name w:val="xl121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2">
    <w:name w:val="xl12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3">
    <w:name w:val="xl123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4">
    <w:name w:val="xl12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125">
    <w:name w:val="xl12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6">
    <w:name w:val="xl12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7">
    <w:name w:val="xl12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9">
    <w:name w:val="xl12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0">
    <w:name w:val="xl13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1">
    <w:name w:val="xl13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2">
    <w:name w:val="xl13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33">
    <w:name w:val="xl13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34">
    <w:name w:val="xl13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5">
    <w:name w:val="xl13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6">
    <w:name w:val="xl136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137">
    <w:name w:val="xl137"/>
    <w:basedOn w:val="a"/>
    <w:rsid w:val="00B46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138">
    <w:name w:val="xl138"/>
    <w:basedOn w:val="a"/>
    <w:rsid w:val="00B46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39">
    <w:name w:val="xl13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140">
    <w:name w:val="xl140"/>
    <w:basedOn w:val="a"/>
    <w:rsid w:val="00B46D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41">
    <w:name w:val="xl141"/>
    <w:basedOn w:val="a"/>
    <w:rsid w:val="00B46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</w:rPr>
  </w:style>
  <w:style w:type="numbering" w:customStyle="1" w:styleId="51">
    <w:name w:val="Нет списка5"/>
    <w:next w:val="a2"/>
    <w:uiPriority w:val="99"/>
    <w:semiHidden/>
    <w:unhideWhenUsed/>
    <w:rsid w:val="00B46DB6"/>
  </w:style>
  <w:style w:type="paragraph" w:customStyle="1" w:styleId="msonormal0">
    <w:name w:val="msonormal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customStyle="1" w:styleId="43">
    <w:name w:val="Сетка таблицы4"/>
    <w:basedOn w:val="a1"/>
    <w:next w:val="aa"/>
    <w:uiPriority w:val="39"/>
    <w:rsid w:val="00B46DB6"/>
    <w:pPr>
      <w:ind w:firstLine="709"/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6">
    <w:name w:val="xl66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14"/>
      <w:szCs w:val="14"/>
    </w:rPr>
  </w:style>
  <w:style w:type="paragraph" w:customStyle="1" w:styleId="Iauiue">
    <w:name w:val="Iau?iue"/>
    <w:rsid w:val="00B46DB6"/>
    <w:pPr>
      <w:spacing w:before="120" w:line="360" w:lineRule="auto"/>
      <w:ind w:firstLine="680"/>
      <w:jc w:val="both"/>
    </w:pPr>
    <w:rPr>
      <w:rFonts w:ascii="TimesDL" w:hAnsi="TimesDL"/>
      <w:sz w:val="24"/>
    </w:rPr>
  </w:style>
  <w:style w:type="character" w:styleId="HTML">
    <w:name w:val="HTML Variable"/>
    <w:aliases w:val="!Ссылки в документе"/>
    <w:basedOn w:val="a0"/>
    <w:rsid w:val="003C2B8D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3C2B8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C2B8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C2B8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C2B8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C2B8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C2B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C2B8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C2B8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C2B8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C2B8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C2B8D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C3861"/>
    <w:pPr>
      <w:keepNext/>
      <w:ind w:firstLine="0"/>
      <w:jc w:val="center"/>
      <w:outlineLvl w:val="4"/>
    </w:pPr>
    <w:rPr>
      <w:rFonts w:ascii="Times New Roman" w:hAnsi="Times New Roman"/>
      <w:sz w:val="28"/>
    </w:rPr>
  </w:style>
  <w:style w:type="character" w:default="1" w:styleId="a0">
    <w:name w:val="Default Paragraph Font"/>
    <w:semiHidden/>
    <w:rsid w:val="003C2B8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C2B8D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link w:val="a4"/>
    <w:pPr>
      <w:spacing w:after="120"/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link w:val="a9"/>
    <w:pPr>
      <w:ind w:firstLine="709"/>
    </w:pPr>
    <w:rPr>
      <w:rFonts w:ascii="Academy" w:hAnsi="Academy"/>
      <w:color w:val="008080"/>
      <w:sz w:val="28"/>
    </w:rPr>
  </w:style>
  <w:style w:type="table" w:styleId="aa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c">
    <w:name w:val="Title"/>
    <w:basedOn w:val="a"/>
    <w:link w:val="ad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character" w:customStyle="1" w:styleId="30">
    <w:name w:val="Заголовок 3 Знак"/>
    <w:aliases w:val="!Главы документа Знак"/>
    <w:link w:val="3"/>
    <w:rsid w:val="005C386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C3861"/>
    <w:rPr>
      <w:rFonts w:ascii="Arial" w:hAnsi="Arial"/>
      <w:b/>
      <w:bCs/>
      <w:sz w:val="26"/>
      <w:szCs w:val="28"/>
    </w:rPr>
  </w:style>
  <w:style w:type="character" w:customStyle="1" w:styleId="20">
    <w:name w:val="Заголовок 2 Знак"/>
    <w:aliases w:val="!Разделы документа Знак"/>
    <w:link w:val="2"/>
    <w:rsid w:val="005C3861"/>
    <w:rPr>
      <w:rFonts w:ascii="Arial" w:hAnsi="Arial" w:cs="Arial"/>
      <w:b/>
      <w:bCs/>
      <w:iCs/>
      <w:sz w:val="30"/>
      <w:szCs w:val="28"/>
    </w:rPr>
  </w:style>
  <w:style w:type="character" w:customStyle="1" w:styleId="50">
    <w:name w:val="Заголовок 5 Знак"/>
    <w:link w:val="5"/>
    <w:rsid w:val="005C3861"/>
    <w:rPr>
      <w:sz w:val="28"/>
    </w:rPr>
  </w:style>
  <w:style w:type="numbering" w:customStyle="1" w:styleId="12">
    <w:name w:val="Нет списка1"/>
    <w:next w:val="a2"/>
    <w:semiHidden/>
    <w:rsid w:val="005C3861"/>
  </w:style>
  <w:style w:type="paragraph" w:customStyle="1" w:styleId="ae">
    <w:name w:val="Знак"/>
    <w:basedOn w:val="a"/>
    <w:rsid w:val="005C386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f">
    <w:name w:val="Balloon Text"/>
    <w:basedOn w:val="a"/>
    <w:link w:val="af0"/>
    <w:uiPriority w:val="99"/>
    <w:rsid w:val="005C3861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5C38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11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footer"/>
    <w:basedOn w:val="a"/>
    <w:link w:val="af2"/>
    <w:uiPriority w:val="99"/>
    <w:rsid w:val="00B32BC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32BCC"/>
    <w:rPr>
      <w:rFonts w:ascii="TimesDL" w:hAnsi="TimesDL"/>
      <w:sz w:val="24"/>
    </w:rPr>
  </w:style>
  <w:style w:type="table" w:customStyle="1" w:styleId="13">
    <w:name w:val="Сетка таблицы1"/>
    <w:basedOn w:val="a1"/>
    <w:next w:val="aa"/>
    <w:uiPriority w:val="59"/>
    <w:rsid w:val="00E82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41446C"/>
    <w:rPr>
      <w:rFonts w:ascii="Academy" w:hAnsi="Academy"/>
      <w:color w:val="008080"/>
      <w:sz w:val="28"/>
    </w:rPr>
  </w:style>
  <w:style w:type="numbering" w:customStyle="1" w:styleId="21">
    <w:name w:val="Нет списка2"/>
    <w:next w:val="a2"/>
    <w:uiPriority w:val="99"/>
    <w:semiHidden/>
    <w:unhideWhenUsed/>
    <w:rsid w:val="00B46DB6"/>
  </w:style>
  <w:style w:type="paragraph" w:styleId="af3">
    <w:name w:val="List Paragraph"/>
    <w:basedOn w:val="a"/>
    <w:uiPriority w:val="34"/>
    <w:qFormat/>
    <w:rsid w:val="00B46DB6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annotation reference"/>
    <w:uiPriority w:val="99"/>
    <w:unhideWhenUsed/>
    <w:rsid w:val="00B46DB6"/>
    <w:rPr>
      <w:sz w:val="16"/>
      <w:szCs w:val="16"/>
    </w:rPr>
  </w:style>
  <w:style w:type="paragraph" w:styleId="af5">
    <w:name w:val="annotation text"/>
    <w:aliases w:val="!Равноширинный текст документа"/>
    <w:basedOn w:val="a"/>
    <w:link w:val="af6"/>
    <w:rsid w:val="003C2B8D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link w:val="af5"/>
    <w:rsid w:val="00B46DB6"/>
    <w:rPr>
      <w:rFonts w:ascii="Courier" w:hAnsi="Courier"/>
      <w:sz w:val="22"/>
    </w:rPr>
  </w:style>
  <w:style w:type="paragraph" w:styleId="af7">
    <w:name w:val="annotation subject"/>
    <w:basedOn w:val="af5"/>
    <w:next w:val="af5"/>
    <w:link w:val="af8"/>
    <w:uiPriority w:val="99"/>
    <w:unhideWhenUsed/>
    <w:rsid w:val="00B46DB6"/>
    <w:rPr>
      <w:b/>
      <w:bCs/>
    </w:rPr>
  </w:style>
  <w:style w:type="character" w:customStyle="1" w:styleId="af8">
    <w:name w:val="Тема примечания Знак"/>
    <w:link w:val="af7"/>
    <w:uiPriority w:val="99"/>
    <w:rsid w:val="00B46DB6"/>
    <w:rPr>
      <w:rFonts w:ascii="Calibri" w:eastAsia="Calibri" w:hAnsi="Calibri"/>
      <w:b/>
      <w:bCs/>
      <w:lang w:eastAsia="en-US"/>
    </w:rPr>
  </w:style>
  <w:style w:type="table" w:customStyle="1" w:styleId="22">
    <w:name w:val="Сетка таблицы2"/>
    <w:basedOn w:val="a1"/>
    <w:next w:val="aa"/>
    <w:uiPriority w:val="59"/>
    <w:rsid w:val="00B46DB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Название Знак"/>
    <w:link w:val="ac"/>
    <w:rsid w:val="00B46DB6"/>
    <w:rPr>
      <w:sz w:val="28"/>
      <w:szCs w:val="24"/>
    </w:rPr>
  </w:style>
  <w:style w:type="paragraph" w:customStyle="1" w:styleId="41">
    <w:name w:val="Стиль4"/>
    <w:basedOn w:val="a"/>
    <w:rsid w:val="00B46DB6"/>
    <w:pPr>
      <w:widowControl w:val="0"/>
      <w:ind w:firstLine="0"/>
      <w:jc w:val="left"/>
    </w:pPr>
    <w:rPr>
      <w:rFonts w:ascii="Times New Roman" w:hAnsi="Times New Roman"/>
    </w:rPr>
  </w:style>
  <w:style w:type="character" w:styleId="af9">
    <w:name w:val="Strong"/>
    <w:qFormat/>
    <w:rsid w:val="00B46DB6"/>
    <w:rPr>
      <w:b/>
      <w:bCs/>
    </w:rPr>
  </w:style>
  <w:style w:type="character" w:customStyle="1" w:styleId="a6">
    <w:name w:val="Верхний колонтитул Знак"/>
    <w:link w:val="a5"/>
    <w:uiPriority w:val="99"/>
    <w:rsid w:val="00B46DB6"/>
    <w:rPr>
      <w:rFonts w:ascii="TimesDL" w:hAnsi="TimesDL"/>
      <w:sz w:val="24"/>
    </w:rPr>
  </w:style>
  <w:style w:type="character" w:styleId="afa">
    <w:name w:val="Hyperlink"/>
    <w:basedOn w:val="a0"/>
    <w:rsid w:val="003C2B8D"/>
    <w:rPr>
      <w:color w:val="0000FF"/>
      <w:u w:val="none"/>
    </w:rPr>
  </w:style>
  <w:style w:type="character" w:styleId="afb">
    <w:name w:val="FollowedHyperlink"/>
    <w:uiPriority w:val="99"/>
    <w:unhideWhenUsed/>
    <w:rsid w:val="00B46DB6"/>
    <w:rPr>
      <w:color w:val="800080"/>
      <w:u w:val="single"/>
    </w:rPr>
  </w:style>
  <w:style w:type="paragraph" w:styleId="afc">
    <w:name w:val="No Spacing"/>
    <w:link w:val="afd"/>
    <w:uiPriority w:val="1"/>
    <w:qFormat/>
    <w:rsid w:val="00B46DB6"/>
    <w:rPr>
      <w:rFonts w:ascii="Calibri" w:hAnsi="Calibri"/>
      <w:sz w:val="22"/>
      <w:szCs w:val="22"/>
    </w:rPr>
  </w:style>
  <w:style w:type="character" w:customStyle="1" w:styleId="afd">
    <w:name w:val="Без интервала Знак"/>
    <w:link w:val="afc"/>
    <w:uiPriority w:val="1"/>
    <w:rsid w:val="00B46DB6"/>
    <w:rPr>
      <w:rFonts w:ascii="Calibri" w:hAnsi="Calibri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rsid w:val="00B46DB6"/>
    <w:rPr>
      <w:rFonts w:ascii="Arial" w:hAnsi="Arial" w:cs="Arial"/>
      <w:b/>
      <w:bCs/>
      <w:kern w:val="32"/>
      <w:sz w:val="32"/>
      <w:szCs w:val="32"/>
    </w:rPr>
  </w:style>
  <w:style w:type="numbering" w:customStyle="1" w:styleId="110">
    <w:name w:val="Нет списка11"/>
    <w:next w:val="a2"/>
    <w:semiHidden/>
    <w:rsid w:val="00B46DB6"/>
  </w:style>
  <w:style w:type="character" w:customStyle="1" w:styleId="a4">
    <w:name w:val="Основной текст Знак"/>
    <w:link w:val="a3"/>
    <w:rsid w:val="00B46DB6"/>
    <w:rPr>
      <w:rFonts w:ascii="TimesDL" w:hAnsi="TimesDL"/>
      <w:sz w:val="24"/>
    </w:rPr>
  </w:style>
  <w:style w:type="paragraph" w:styleId="23">
    <w:name w:val="Body Text 2"/>
    <w:basedOn w:val="a"/>
    <w:link w:val="24"/>
    <w:rsid w:val="00B46DB6"/>
    <w:pPr>
      <w:shd w:val="clear" w:color="auto" w:fill="FFFFFF"/>
      <w:autoSpaceDE w:val="0"/>
      <w:autoSpaceDN w:val="0"/>
      <w:adjustRightInd w:val="0"/>
      <w:ind w:firstLine="0"/>
      <w:jc w:val="left"/>
    </w:pPr>
    <w:rPr>
      <w:rFonts w:ascii="Times New Roman" w:hAnsi="Times New Roman"/>
      <w:color w:val="000000"/>
      <w:sz w:val="28"/>
    </w:rPr>
  </w:style>
  <w:style w:type="character" w:customStyle="1" w:styleId="24">
    <w:name w:val="Основной текст 2 Знак"/>
    <w:link w:val="23"/>
    <w:rsid w:val="00B46DB6"/>
    <w:rPr>
      <w:color w:val="000000"/>
      <w:sz w:val="28"/>
      <w:shd w:val="clear" w:color="auto" w:fill="FFFFFF"/>
    </w:rPr>
  </w:style>
  <w:style w:type="paragraph" w:styleId="31">
    <w:name w:val="Body Text 3"/>
    <w:basedOn w:val="a"/>
    <w:link w:val="32"/>
    <w:rsid w:val="00B46DB6"/>
    <w:pPr>
      <w:ind w:firstLine="0"/>
      <w:jc w:val="left"/>
    </w:pPr>
    <w:rPr>
      <w:rFonts w:ascii="Times New Roman" w:hAnsi="Times New Roman"/>
      <w:sz w:val="28"/>
    </w:rPr>
  </w:style>
  <w:style w:type="character" w:customStyle="1" w:styleId="32">
    <w:name w:val="Основной текст 3 Знак"/>
    <w:link w:val="31"/>
    <w:rsid w:val="00B46DB6"/>
    <w:rPr>
      <w:sz w:val="28"/>
    </w:rPr>
  </w:style>
  <w:style w:type="table" w:customStyle="1" w:styleId="111">
    <w:name w:val="Сетка таблицы11"/>
    <w:basedOn w:val="a1"/>
    <w:next w:val="aa"/>
    <w:rsid w:val="00B4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rmal Indent"/>
    <w:basedOn w:val="a"/>
    <w:rsid w:val="00B46DB6"/>
    <w:pPr>
      <w:ind w:left="708" w:firstLine="0"/>
      <w:jc w:val="left"/>
    </w:pPr>
    <w:rPr>
      <w:rFonts w:ascii="Times New Roman" w:hAnsi="Times New Roman"/>
      <w:sz w:val="20"/>
    </w:rPr>
  </w:style>
  <w:style w:type="paragraph" w:customStyle="1" w:styleId="ConsPlusCell">
    <w:name w:val="ConsPlusCell"/>
    <w:uiPriority w:val="99"/>
    <w:rsid w:val="00B46DB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f">
    <w:name w:val="Знак Знак Знак Знак Знак Знак"/>
    <w:basedOn w:val="a"/>
    <w:rsid w:val="00B46DB6"/>
    <w:pPr>
      <w:widowControl w:val="0"/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numbering" w:customStyle="1" w:styleId="210">
    <w:name w:val="Нет списка21"/>
    <w:next w:val="a2"/>
    <w:semiHidden/>
    <w:rsid w:val="00B46DB6"/>
  </w:style>
  <w:style w:type="paragraph" w:customStyle="1" w:styleId="ConsPlusNonformat">
    <w:name w:val="ConsPlusNonformat"/>
    <w:uiPriority w:val="99"/>
    <w:rsid w:val="00B46D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46DB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customStyle="1" w:styleId="211">
    <w:name w:val="Сетка таблицы21"/>
    <w:basedOn w:val="a1"/>
    <w:next w:val="aa"/>
    <w:rsid w:val="00B4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B4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0">
    <w:name w:val="Document Map"/>
    <w:basedOn w:val="a"/>
    <w:link w:val="aff1"/>
    <w:rsid w:val="00B46DB6"/>
    <w:pPr>
      <w:shd w:val="clear" w:color="auto" w:fill="000080"/>
      <w:ind w:firstLine="0"/>
      <w:jc w:val="left"/>
    </w:pPr>
    <w:rPr>
      <w:rFonts w:ascii="Tahoma" w:hAnsi="Tahoma" w:cs="Tahoma"/>
      <w:sz w:val="20"/>
    </w:rPr>
  </w:style>
  <w:style w:type="character" w:customStyle="1" w:styleId="aff1">
    <w:name w:val="Схема документа Знак"/>
    <w:link w:val="aff0"/>
    <w:rsid w:val="00B46DB6"/>
    <w:rPr>
      <w:rFonts w:ascii="Tahoma" w:hAnsi="Tahoma" w:cs="Tahoma"/>
      <w:shd w:val="clear" w:color="auto" w:fill="000080"/>
    </w:rPr>
  </w:style>
  <w:style w:type="paragraph" w:styleId="aff2">
    <w:name w:val="Normal (Web)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Cell">
    <w:name w:val="ConsCell"/>
    <w:rsid w:val="00B46DB6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numbering" w:customStyle="1" w:styleId="33">
    <w:name w:val="Нет списка3"/>
    <w:next w:val="a2"/>
    <w:semiHidden/>
    <w:rsid w:val="00B46DB6"/>
  </w:style>
  <w:style w:type="numbering" w:customStyle="1" w:styleId="42">
    <w:name w:val="Нет списка4"/>
    <w:next w:val="a2"/>
    <w:semiHidden/>
    <w:rsid w:val="00B46DB6"/>
  </w:style>
  <w:style w:type="table" w:customStyle="1" w:styleId="34">
    <w:name w:val="Сетка таблицы3"/>
    <w:basedOn w:val="a1"/>
    <w:next w:val="aa"/>
    <w:rsid w:val="00B4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46DB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46DB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f3">
    <w:name w:val="Знак Знак Знак Знак Знак Знак"/>
    <w:basedOn w:val="a"/>
    <w:rsid w:val="00B46DB6"/>
    <w:pPr>
      <w:widowControl w:val="0"/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font5">
    <w:name w:val="font5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8"/>
      <w:szCs w:val="28"/>
    </w:rPr>
  </w:style>
  <w:style w:type="paragraph" w:customStyle="1" w:styleId="xl67">
    <w:name w:val="xl6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68">
    <w:name w:val="xl6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69">
    <w:name w:val="xl6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70">
    <w:name w:val="xl7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1">
    <w:name w:val="xl7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2">
    <w:name w:val="xl7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3">
    <w:name w:val="xl7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4">
    <w:name w:val="xl74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5">
    <w:name w:val="xl75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6">
    <w:name w:val="xl7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7">
    <w:name w:val="xl7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ahoma" w:hAnsi="Tahoma" w:cs="Tahoma"/>
      <w:color w:val="000000"/>
      <w:sz w:val="14"/>
      <w:szCs w:val="14"/>
    </w:rPr>
  </w:style>
  <w:style w:type="paragraph" w:customStyle="1" w:styleId="xl78">
    <w:name w:val="xl7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80">
    <w:name w:val="xl8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81">
    <w:name w:val="xl81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82">
    <w:name w:val="xl82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83">
    <w:name w:val="xl83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4">
    <w:name w:val="xl8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5">
    <w:name w:val="xl85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87">
    <w:name w:val="xl87"/>
    <w:basedOn w:val="a"/>
    <w:rsid w:val="00B46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8"/>
      <w:szCs w:val="28"/>
    </w:rPr>
  </w:style>
  <w:style w:type="paragraph" w:customStyle="1" w:styleId="xl88">
    <w:name w:val="xl8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000000"/>
      <w:sz w:val="28"/>
      <w:szCs w:val="28"/>
    </w:rPr>
  </w:style>
  <w:style w:type="paragraph" w:customStyle="1" w:styleId="xl89">
    <w:name w:val="xl89"/>
    <w:basedOn w:val="a"/>
    <w:rsid w:val="00B46DB6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0">
    <w:name w:val="xl9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1">
    <w:name w:val="xl9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2">
    <w:name w:val="xl9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3">
    <w:name w:val="xl9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4">
    <w:name w:val="xl9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5">
    <w:name w:val="xl9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6">
    <w:name w:val="xl9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7">
    <w:name w:val="xl9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8">
    <w:name w:val="xl9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99">
    <w:name w:val="xl9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0">
    <w:name w:val="xl10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1">
    <w:name w:val="xl10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2">
    <w:name w:val="xl10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3">
    <w:name w:val="xl10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4">
    <w:name w:val="xl10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5">
    <w:name w:val="xl10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06">
    <w:name w:val="xl10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FF0000"/>
      <w:sz w:val="28"/>
      <w:szCs w:val="28"/>
    </w:rPr>
  </w:style>
  <w:style w:type="paragraph" w:customStyle="1" w:styleId="xl107">
    <w:name w:val="xl10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08">
    <w:name w:val="xl10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09">
    <w:name w:val="xl109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FF0000"/>
    </w:rPr>
  </w:style>
  <w:style w:type="paragraph" w:customStyle="1" w:styleId="xl110">
    <w:name w:val="xl11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11">
    <w:name w:val="xl11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2">
    <w:name w:val="xl11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3">
    <w:name w:val="xl11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14">
    <w:name w:val="xl11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5">
    <w:name w:val="xl11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6">
    <w:name w:val="xl11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7">
    <w:name w:val="xl11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8">
    <w:name w:val="xl11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9">
    <w:name w:val="xl11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0">
    <w:name w:val="xl12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1">
    <w:name w:val="xl121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2">
    <w:name w:val="xl12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3">
    <w:name w:val="xl123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4">
    <w:name w:val="xl12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125">
    <w:name w:val="xl12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26">
    <w:name w:val="xl126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7">
    <w:name w:val="xl127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9">
    <w:name w:val="xl12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0">
    <w:name w:val="xl130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1">
    <w:name w:val="xl131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2">
    <w:name w:val="xl132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33">
    <w:name w:val="xl133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FF0000"/>
      <w:sz w:val="28"/>
      <w:szCs w:val="28"/>
    </w:rPr>
  </w:style>
  <w:style w:type="paragraph" w:customStyle="1" w:styleId="xl134">
    <w:name w:val="xl134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5">
    <w:name w:val="xl135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36">
    <w:name w:val="xl136"/>
    <w:basedOn w:val="a"/>
    <w:rsid w:val="00B46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137">
    <w:name w:val="xl137"/>
    <w:basedOn w:val="a"/>
    <w:rsid w:val="00B46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138">
    <w:name w:val="xl138"/>
    <w:basedOn w:val="a"/>
    <w:rsid w:val="00B46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39">
    <w:name w:val="xl139"/>
    <w:basedOn w:val="a"/>
    <w:rsid w:val="00B46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140">
    <w:name w:val="xl140"/>
    <w:basedOn w:val="a"/>
    <w:rsid w:val="00B46D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41">
    <w:name w:val="xl141"/>
    <w:basedOn w:val="a"/>
    <w:rsid w:val="00B46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</w:rPr>
  </w:style>
  <w:style w:type="numbering" w:customStyle="1" w:styleId="51">
    <w:name w:val="Нет списка5"/>
    <w:next w:val="a2"/>
    <w:uiPriority w:val="99"/>
    <w:semiHidden/>
    <w:unhideWhenUsed/>
    <w:rsid w:val="00B46DB6"/>
  </w:style>
  <w:style w:type="paragraph" w:customStyle="1" w:styleId="msonormal0">
    <w:name w:val="msonormal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customStyle="1" w:styleId="43">
    <w:name w:val="Сетка таблицы4"/>
    <w:basedOn w:val="a1"/>
    <w:next w:val="aa"/>
    <w:uiPriority w:val="39"/>
    <w:rsid w:val="00B46DB6"/>
    <w:pPr>
      <w:ind w:firstLine="709"/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6">
    <w:name w:val="xl66"/>
    <w:basedOn w:val="a"/>
    <w:rsid w:val="00B46DB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14"/>
      <w:szCs w:val="14"/>
    </w:rPr>
  </w:style>
  <w:style w:type="paragraph" w:customStyle="1" w:styleId="Iauiue">
    <w:name w:val="Iau?iue"/>
    <w:rsid w:val="00B46DB6"/>
    <w:pPr>
      <w:spacing w:before="120" w:line="360" w:lineRule="auto"/>
      <w:ind w:firstLine="680"/>
      <w:jc w:val="both"/>
    </w:pPr>
    <w:rPr>
      <w:rFonts w:ascii="TimesDL" w:hAnsi="TimesDL"/>
      <w:sz w:val="24"/>
    </w:rPr>
  </w:style>
  <w:style w:type="character" w:styleId="HTML">
    <w:name w:val="HTML Variable"/>
    <w:aliases w:val="!Ссылки в документе"/>
    <w:basedOn w:val="a0"/>
    <w:rsid w:val="003C2B8D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3C2B8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C2B8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C2B8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C2B8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C2B8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C2B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4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4a39e961-ee66-44dc-a5fa-68b5b4ebfc08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111863d6-b7f1-481b-9bdf-5a9eff92f0aa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nla-service.minjust.ru:8080/rnla-links/ws/content/act/8f21b21c-a408-42c4-b9fe-a939b863c84a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0F2F8-4F4A-40C8-A432-2C3F573F0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20</Pages>
  <Words>4507</Words>
  <Characters>25691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2022-05-13T04:28:00Z</cp:lastPrinted>
  <dcterms:created xsi:type="dcterms:W3CDTF">2026-08-31T06:24:00Z</dcterms:created>
  <dcterms:modified xsi:type="dcterms:W3CDTF">2026-08-31T06:25:00Z</dcterms:modified>
</cp:coreProperties>
</file>